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1798A9">
      <w:pPr>
        <w:pStyle w:val="10"/>
        <w:snapToGrid w:val="0"/>
        <w:spacing w:line="240" w:lineRule="auto"/>
        <w:ind w:firstLine="0" w:firstLineChars="0"/>
        <w:rPr>
          <w:rFonts w:hint="default" w:ascii="Times New Roman" w:hAnsi="Times New Roman" w:cs="Times New Roman"/>
          <w:b/>
          <w:color w:val="000000"/>
          <w:sz w:val="36"/>
          <w:szCs w:val="36"/>
        </w:rPr>
      </w:pPr>
      <w:r>
        <w:rPr>
          <w:rFonts w:hint="default" w:ascii="Times New Roman" w:hAnsi="Times New Roman" w:cs="Times New Roman"/>
        </w:rPr>
        <w:drawing>
          <wp:inline distT="0" distB="0" distL="114300" distR="114300">
            <wp:extent cx="1407160" cy="480695"/>
            <wp:effectExtent l="0" t="0" r="2540" b="190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2"/>
                    <a:stretch>
                      <a:fillRect/>
                    </a:stretch>
                  </pic:blipFill>
                  <pic:spPr>
                    <a:xfrm>
                      <a:off x="0" y="0"/>
                      <a:ext cx="1407160" cy="480695"/>
                    </a:xfrm>
                    <a:prstGeom prst="rect">
                      <a:avLst/>
                    </a:prstGeom>
                    <a:noFill/>
                    <a:ln>
                      <a:noFill/>
                    </a:ln>
                  </pic:spPr>
                </pic:pic>
              </a:graphicData>
            </a:graphic>
          </wp:inline>
        </w:drawing>
      </w:r>
    </w:p>
    <w:p w14:paraId="227B7C11">
      <w:pPr>
        <w:pStyle w:val="10"/>
        <w:snapToGrid w:val="0"/>
        <w:spacing w:line="240" w:lineRule="auto"/>
        <w:ind w:firstLine="0" w:firstLineChars="0"/>
        <w:rPr>
          <w:rFonts w:hint="default" w:ascii="Times New Roman" w:hAnsi="Times New Roman" w:cs="Times New Roman"/>
        </w:rPr>
      </w:pPr>
    </w:p>
    <w:p w14:paraId="3590A7D7">
      <w:pPr>
        <w:spacing w:line="600" w:lineRule="exact"/>
        <w:ind w:firstLine="0" w:firstLineChars="0"/>
        <w:jc w:val="center"/>
        <w:rPr>
          <w:rFonts w:hint="default" w:ascii="Times New Roman" w:hAnsi="Times New Roman" w:cs="Times New Roman" w:eastAsiaTheme="minorEastAsia"/>
          <w:b/>
          <w:color w:val="000000" w:themeColor="text1"/>
          <w:sz w:val="36"/>
          <w:szCs w:val="36"/>
          <w14:textFill>
            <w14:solidFill>
              <w14:schemeClr w14:val="tx1"/>
            </w14:solidFill>
          </w14:textFill>
        </w:rPr>
      </w:pPr>
      <w:r>
        <w:rPr>
          <w:rFonts w:hint="default" w:ascii="Times New Roman" w:hAnsi="Times New Roman" w:cs="Times New Roman" w:eastAsiaTheme="minorEastAsia"/>
          <w:b/>
          <w:color w:val="000000"/>
          <w:sz w:val="36"/>
          <w:szCs w:val="36"/>
          <w:lang w:eastAsia="zh-CN"/>
        </w:rPr>
        <w:t>江苏九州星际新材料有限公司</w:t>
      </w:r>
      <w:r>
        <w:rPr>
          <w:rFonts w:hint="default" w:ascii="Times New Roman" w:hAnsi="Times New Roman" w:cs="Times New Roman" w:eastAsiaTheme="minorEastAsia"/>
          <w:b/>
          <w:color w:val="000000" w:themeColor="text1"/>
          <w:sz w:val="36"/>
          <w:szCs w:val="36"/>
          <w:lang w:eastAsia="zh-CN"/>
          <w14:textFill>
            <w14:solidFill>
              <w14:schemeClr w14:val="tx1"/>
            </w14:solidFill>
          </w14:textFill>
        </w:rPr>
        <w:t>年产20000 吨超高分子量聚乙烯纤维项目</w:t>
      </w:r>
      <w:r>
        <w:rPr>
          <w:rFonts w:hint="default" w:ascii="Times New Roman" w:hAnsi="Times New Roman" w:cs="Times New Roman" w:eastAsiaTheme="minorEastAsia"/>
          <w:b/>
          <w:color w:val="000000" w:themeColor="text1"/>
          <w:sz w:val="36"/>
          <w:szCs w:val="36"/>
          <w14:textFill>
            <w14:solidFill>
              <w14:schemeClr w14:val="tx1"/>
            </w14:solidFill>
          </w14:textFill>
        </w:rPr>
        <w:t>（</w:t>
      </w:r>
      <w:r>
        <w:rPr>
          <w:rFonts w:hint="default" w:ascii="Times New Roman" w:hAnsi="Times New Roman" w:cs="Times New Roman" w:eastAsiaTheme="minorEastAsia"/>
          <w:b/>
          <w:color w:val="000000" w:themeColor="text1"/>
          <w:sz w:val="36"/>
          <w:szCs w:val="36"/>
          <w:lang w:eastAsia="zh-CN"/>
          <w14:textFill>
            <w14:solidFill>
              <w14:schemeClr w14:val="tx1"/>
            </w14:solidFill>
          </w14:textFill>
        </w:rPr>
        <w:t>第二阶段：车间五年产2784吨超高分子量聚乙烯纤维项目</w:t>
      </w:r>
      <w:r>
        <w:rPr>
          <w:rFonts w:hint="default" w:ascii="Times New Roman" w:hAnsi="Times New Roman" w:cs="Times New Roman" w:eastAsiaTheme="minorEastAsia"/>
          <w:b/>
          <w:color w:val="000000" w:themeColor="text1"/>
          <w:sz w:val="36"/>
          <w:szCs w:val="36"/>
          <w14:textFill>
            <w14:solidFill>
              <w14:schemeClr w14:val="tx1"/>
            </w14:solidFill>
          </w14:textFill>
        </w:rPr>
        <w:t>）竣工环境保护</w:t>
      </w:r>
    </w:p>
    <w:p w14:paraId="29A53313">
      <w:pPr>
        <w:spacing w:line="600" w:lineRule="exact"/>
        <w:ind w:firstLine="0" w:firstLineChars="0"/>
        <w:jc w:val="center"/>
        <w:rPr>
          <w:rFonts w:hint="default" w:ascii="Times New Roman" w:hAnsi="Times New Roman" w:cs="Times New Roman" w:eastAsiaTheme="minorEastAsia"/>
          <w:b/>
          <w:color w:val="000000" w:themeColor="text1"/>
          <w:sz w:val="36"/>
          <w:szCs w:val="36"/>
          <w14:textFill>
            <w14:solidFill>
              <w14:schemeClr w14:val="tx1"/>
            </w14:solidFill>
          </w14:textFill>
        </w:rPr>
      </w:pPr>
      <w:r>
        <w:rPr>
          <w:rFonts w:hint="default" w:ascii="Times New Roman" w:hAnsi="Times New Roman" w:cs="Times New Roman" w:eastAsiaTheme="minorEastAsia"/>
          <w:b/>
          <w:color w:val="000000" w:themeColor="text1"/>
          <w:sz w:val="36"/>
          <w:szCs w:val="36"/>
          <w14:textFill>
            <w14:solidFill>
              <w14:schemeClr w14:val="tx1"/>
            </w14:solidFill>
          </w14:textFill>
        </w:rPr>
        <w:t>验收监测报告</w:t>
      </w:r>
    </w:p>
    <w:p w14:paraId="26344716">
      <w:pPr>
        <w:pStyle w:val="10"/>
        <w:spacing w:line="600" w:lineRule="exact"/>
        <w:ind w:firstLine="0" w:firstLineChars="0"/>
        <w:jc w:val="center"/>
        <w:rPr>
          <w:rFonts w:hint="default" w:ascii="Times New Roman" w:hAnsi="Times New Roman" w:cs="Times New Roman"/>
          <w:b/>
          <w:color w:val="000000" w:themeColor="text1"/>
          <w:sz w:val="36"/>
          <w:szCs w:val="36"/>
          <w14:textFill>
            <w14:solidFill>
              <w14:schemeClr w14:val="tx1"/>
            </w14:solidFill>
          </w14:textFill>
        </w:rPr>
      </w:pPr>
    </w:p>
    <w:p w14:paraId="02D4E072">
      <w:pPr>
        <w:pStyle w:val="10"/>
        <w:snapToGrid w:val="0"/>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304800" cy="304800"/>
            <wp:effectExtent l="0" t="0" r="0" b="0"/>
            <wp:docPr id="1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56"/>
                    <pic:cNvPicPr>
                      <a:picLocks noChangeAspect="1"/>
                    </pic:cNvPicPr>
                  </pic:nvPicPr>
                  <pic:blipFill>
                    <a:blip r:embed="rId13"/>
                    <a:stretch>
                      <a:fillRect/>
                    </a:stretch>
                  </pic:blipFill>
                  <pic:spPr>
                    <a:xfrm>
                      <a:off x="0" y="0"/>
                      <a:ext cx="304800" cy="304800"/>
                    </a:xfrm>
                    <a:prstGeom prst="rect">
                      <a:avLst/>
                    </a:prstGeom>
                    <a:noFill/>
                    <a:ln w="9525">
                      <a:noFill/>
                    </a:ln>
                  </pic:spPr>
                </pic:pic>
              </a:graphicData>
            </a:graphic>
          </wp:inline>
        </w:drawing>
      </w:r>
    </w:p>
    <w:p w14:paraId="5CD67BC5">
      <w:pPr>
        <w:pStyle w:val="10"/>
        <w:snapToGrid w:val="0"/>
        <w:spacing w:line="240" w:lineRule="auto"/>
        <w:ind w:firstLine="0" w:firstLineChars="0"/>
        <w:jc w:val="center"/>
        <w:rPr>
          <w:rFonts w:hint="default" w:ascii="Times New Roman" w:hAnsi="Times New Roman" w:eastAsia="宋体" w:cs="Times New Roman"/>
          <w:sz w:val="24"/>
          <w:szCs w:val="24"/>
        </w:rPr>
      </w:pPr>
    </w:p>
    <w:p w14:paraId="014FF3EE">
      <w:pPr>
        <w:pStyle w:val="10"/>
        <w:snapToGrid w:val="0"/>
        <w:spacing w:line="240" w:lineRule="auto"/>
        <w:ind w:firstLine="0" w:firstLineChars="0"/>
        <w:jc w:val="center"/>
        <w:rPr>
          <w:rFonts w:hint="default" w:ascii="Times New Roman" w:hAnsi="Times New Roman" w:eastAsia="宋体" w:cs="Times New Roman"/>
          <w:sz w:val="24"/>
          <w:szCs w:val="24"/>
        </w:rPr>
      </w:pPr>
    </w:p>
    <w:p w14:paraId="490EA408">
      <w:pPr>
        <w:pStyle w:val="10"/>
        <w:snapToGrid w:val="0"/>
        <w:spacing w:line="240" w:lineRule="auto"/>
        <w:ind w:firstLine="0" w:firstLineChars="0"/>
        <w:jc w:val="center"/>
        <w:rPr>
          <w:rFonts w:hint="default" w:ascii="Times New Roman" w:hAnsi="Times New Roman" w:eastAsia="宋体" w:cs="Times New Roman"/>
          <w:sz w:val="24"/>
          <w:szCs w:val="24"/>
        </w:rPr>
      </w:pPr>
    </w:p>
    <w:p w14:paraId="74FFA1EF">
      <w:pPr>
        <w:pStyle w:val="10"/>
        <w:snapToGrid w:val="0"/>
        <w:spacing w:line="240" w:lineRule="auto"/>
        <w:ind w:firstLine="0" w:firstLineChars="0"/>
        <w:jc w:val="center"/>
        <w:rPr>
          <w:rFonts w:hint="default" w:ascii="Times New Roman" w:hAnsi="Times New Roman" w:eastAsia="宋体" w:cs="Times New Roman"/>
          <w:sz w:val="24"/>
          <w:szCs w:val="24"/>
        </w:rPr>
      </w:pPr>
    </w:p>
    <w:p w14:paraId="54680D87">
      <w:pPr>
        <w:rPr>
          <w:rFonts w:hint="default" w:ascii="Times New Roman" w:hAnsi="Times New Roman" w:eastAsia="宋体" w:cs="Times New Roman"/>
          <w:sz w:val="24"/>
          <w:szCs w:val="24"/>
        </w:rPr>
      </w:pPr>
    </w:p>
    <w:p w14:paraId="29B26C12">
      <w:pPr>
        <w:pStyle w:val="4"/>
        <w:rPr>
          <w:rFonts w:hint="default" w:ascii="Times New Roman" w:hAnsi="Times New Roman" w:eastAsia="宋体" w:cs="Times New Roman"/>
          <w:sz w:val="24"/>
          <w:szCs w:val="24"/>
        </w:rPr>
      </w:pPr>
    </w:p>
    <w:p w14:paraId="1074D25D">
      <w:pPr>
        <w:rPr>
          <w:rFonts w:hint="default" w:ascii="Times New Roman" w:hAnsi="Times New Roman" w:eastAsia="宋体" w:cs="Times New Roman"/>
          <w:sz w:val="24"/>
          <w:szCs w:val="24"/>
        </w:rPr>
      </w:pPr>
    </w:p>
    <w:p w14:paraId="15E2F4B4">
      <w:pPr>
        <w:pStyle w:val="4"/>
        <w:rPr>
          <w:rFonts w:hint="default" w:ascii="Times New Roman" w:hAnsi="Times New Roman" w:eastAsia="宋体" w:cs="Times New Roman"/>
          <w:sz w:val="24"/>
          <w:szCs w:val="24"/>
        </w:rPr>
      </w:pPr>
    </w:p>
    <w:p w14:paraId="3E6797FA">
      <w:pPr>
        <w:rPr>
          <w:rFonts w:hint="default" w:ascii="Times New Roman" w:hAnsi="Times New Roman" w:eastAsia="宋体" w:cs="Times New Roman"/>
          <w:sz w:val="24"/>
          <w:szCs w:val="24"/>
        </w:rPr>
      </w:pPr>
    </w:p>
    <w:p w14:paraId="01B28D5A">
      <w:pPr>
        <w:pStyle w:val="4"/>
        <w:rPr>
          <w:rFonts w:hint="default" w:ascii="Times New Roman" w:hAnsi="Times New Roman" w:eastAsia="宋体" w:cs="Times New Roman"/>
          <w:sz w:val="24"/>
          <w:szCs w:val="24"/>
        </w:rPr>
      </w:pPr>
    </w:p>
    <w:p w14:paraId="218BA111">
      <w:pPr>
        <w:rPr>
          <w:rFonts w:hint="default" w:ascii="Times New Roman" w:hAnsi="Times New Roman" w:cs="Times New Roman"/>
        </w:rPr>
      </w:pPr>
    </w:p>
    <w:p w14:paraId="7E3A1267">
      <w:pPr>
        <w:pStyle w:val="10"/>
        <w:snapToGrid w:val="0"/>
        <w:spacing w:line="240" w:lineRule="auto"/>
        <w:ind w:firstLine="0" w:firstLineChars="0"/>
        <w:jc w:val="center"/>
        <w:rPr>
          <w:rFonts w:hint="default" w:ascii="Times New Roman" w:hAnsi="Times New Roman" w:eastAsia="宋体" w:cs="Times New Roman"/>
          <w:sz w:val="24"/>
          <w:szCs w:val="24"/>
        </w:rPr>
      </w:pPr>
    </w:p>
    <w:p w14:paraId="1EDF696E">
      <w:pPr>
        <w:pStyle w:val="10"/>
        <w:spacing w:line="600" w:lineRule="exact"/>
        <w:ind w:firstLine="0" w:firstLineChars="0"/>
        <w:jc w:val="center"/>
        <w:rPr>
          <w:rFonts w:hint="default" w:ascii="Times New Roman" w:hAnsi="Times New Roman" w:cs="Times New Roman"/>
          <w:b/>
          <w:sz w:val="32"/>
          <w:szCs w:val="32"/>
        </w:rPr>
      </w:pPr>
    </w:p>
    <w:p w14:paraId="4F2AD9DA">
      <w:pPr>
        <w:pStyle w:val="10"/>
        <w:spacing w:line="600" w:lineRule="exact"/>
        <w:ind w:firstLine="0" w:firstLineChars="0"/>
        <w:jc w:val="center"/>
        <w:rPr>
          <w:rFonts w:hint="default" w:ascii="Times New Roman" w:hAnsi="Times New Roman" w:cs="Times New Roman"/>
          <w:b/>
          <w:sz w:val="32"/>
          <w:szCs w:val="32"/>
        </w:rPr>
      </w:pPr>
    </w:p>
    <w:p w14:paraId="22C36B9D">
      <w:pPr>
        <w:pStyle w:val="10"/>
        <w:spacing w:line="600" w:lineRule="exact"/>
        <w:ind w:firstLine="0" w:firstLineChars="0"/>
        <w:jc w:val="center"/>
        <w:rPr>
          <w:rFonts w:hint="default" w:ascii="Times New Roman" w:hAnsi="Times New Roman" w:cs="Times New Roman"/>
          <w:b/>
          <w:sz w:val="32"/>
          <w:szCs w:val="32"/>
        </w:rPr>
      </w:pPr>
    </w:p>
    <w:p w14:paraId="068360DD">
      <w:pPr>
        <w:pStyle w:val="10"/>
        <w:spacing w:line="600" w:lineRule="exact"/>
        <w:ind w:firstLine="0" w:firstLineChars="0"/>
        <w:jc w:val="center"/>
        <w:rPr>
          <w:rFonts w:hint="default" w:ascii="Times New Roman" w:hAnsi="Times New Roman" w:cs="Times New Roman" w:eastAsiaTheme="minorEastAsia"/>
          <w:b/>
          <w:sz w:val="32"/>
          <w:szCs w:val="32"/>
          <w:lang w:eastAsia="zh-CN"/>
        </w:rPr>
      </w:pPr>
      <w:r>
        <w:rPr>
          <w:rFonts w:hint="default" w:ascii="Times New Roman" w:hAnsi="Times New Roman" w:cs="Times New Roman" w:eastAsiaTheme="minorEastAsia"/>
          <w:b/>
          <w:color w:val="000000"/>
          <w:sz w:val="32"/>
          <w:szCs w:val="32"/>
          <w:lang w:eastAsia="zh-CN"/>
        </w:rPr>
        <w:t>江苏九州星际新材料有限公司</w:t>
      </w:r>
    </w:p>
    <w:p w14:paraId="0149BFA4">
      <w:pPr>
        <w:pStyle w:val="10"/>
        <w:spacing w:line="600" w:lineRule="exact"/>
        <w:ind w:firstLine="0" w:firstLineChars="0"/>
        <w:jc w:val="center"/>
        <w:rPr>
          <w:rFonts w:hint="default" w:ascii="Times New Roman" w:hAnsi="Times New Roman" w:cs="Times New Roman" w:eastAsiaTheme="minorEastAsia"/>
          <w:b/>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81" w:charSpace="0"/>
        </w:sectPr>
      </w:pPr>
      <w:r>
        <w:rPr>
          <w:rFonts w:hint="default" w:ascii="Times New Roman" w:hAnsi="Times New Roman" w:cs="Times New Roman" w:eastAsiaTheme="minorEastAsia"/>
          <w:b/>
          <w:sz w:val="32"/>
          <w:szCs w:val="32"/>
        </w:rPr>
        <w:t>202</w:t>
      </w:r>
      <w:r>
        <w:rPr>
          <w:rFonts w:hint="eastAsia" w:ascii="Times New Roman" w:hAnsi="Times New Roman" w:cs="Times New Roman" w:eastAsiaTheme="minorEastAsia"/>
          <w:b/>
          <w:sz w:val="32"/>
          <w:szCs w:val="32"/>
          <w:lang w:val="en-US" w:eastAsia="zh-CN"/>
        </w:rPr>
        <w:t>6</w:t>
      </w:r>
      <w:r>
        <w:rPr>
          <w:rFonts w:hint="default" w:ascii="Times New Roman" w:hAnsi="Times New Roman" w:cs="Times New Roman" w:eastAsiaTheme="minorEastAsia"/>
          <w:b/>
          <w:sz w:val="32"/>
          <w:szCs w:val="32"/>
        </w:rPr>
        <w:t>年</w:t>
      </w:r>
      <w:r>
        <w:rPr>
          <w:rFonts w:hint="default" w:ascii="Times New Roman" w:hAnsi="Times New Roman" w:cs="Times New Roman" w:eastAsiaTheme="minorEastAsia"/>
          <w:b/>
          <w:sz w:val="32"/>
          <w:szCs w:val="32"/>
          <w:lang w:val="en-US" w:eastAsia="zh-CN"/>
        </w:rPr>
        <w:t>1</w:t>
      </w:r>
      <w:r>
        <w:rPr>
          <w:rFonts w:hint="default" w:ascii="Times New Roman" w:hAnsi="Times New Roman" w:cs="Times New Roman" w:eastAsiaTheme="minorEastAsia"/>
          <w:b/>
          <w:sz w:val="32"/>
          <w:szCs w:val="32"/>
        </w:rPr>
        <w:t>月</w:t>
      </w:r>
    </w:p>
    <w:p w14:paraId="7C4AAD26">
      <w:pPr>
        <w:pStyle w:val="10"/>
        <w:spacing w:line="600" w:lineRule="exact"/>
        <w:ind w:firstLine="0" w:firstLineChars="0"/>
        <w:jc w:val="center"/>
        <w:rPr>
          <w:rFonts w:hint="default" w:ascii="Times New Roman" w:hAnsi="Times New Roman" w:cs="Times New Roman"/>
          <w:b/>
          <w:sz w:val="32"/>
          <w:szCs w:val="32"/>
        </w:rPr>
        <w:sectPr>
          <w:pgSz w:w="11906" w:h="16838"/>
          <w:pgMar w:top="1440" w:right="1800" w:bottom="1440" w:left="1800" w:header="851" w:footer="992" w:gutter="0"/>
          <w:cols w:space="425" w:num="1"/>
          <w:titlePg/>
          <w:docGrid w:type="lines" w:linePitch="381" w:charSpace="0"/>
        </w:sectPr>
      </w:pPr>
    </w:p>
    <w:p w14:paraId="50D354DB">
      <w:pPr>
        <w:pStyle w:val="59"/>
        <w:spacing w:before="240" w:line="360" w:lineRule="auto"/>
        <w:jc w:val="center"/>
        <w:rPr>
          <w:rFonts w:hint="default" w:ascii="Times New Roman" w:hAnsi="Times New Roman" w:eastAsia="仿宋" w:cs="Times New Roman"/>
          <w:color w:val="000000" w:themeColor="text1"/>
          <w14:textFill>
            <w14:solidFill>
              <w14:schemeClr w14:val="tx1"/>
            </w14:solidFill>
          </w14:textFill>
        </w:rPr>
      </w:pPr>
      <w:r>
        <w:rPr>
          <w:rFonts w:hint="default" w:ascii="Times New Roman" w:hAnsi="Times New Roman" w:eastAsia="仿宋" w:cs="Times New Roman"/>
          <w:color w:val="000000" w:themeColor="text1"/>
          <w:sz w:val="32"/>
          <w:szCs w:val="32"/>
          <w:lang w:val="zh-CN"/>
          <w14:textFill>
            <w14:solidFill>
              <w14:schemeClr w14:val="tx1"/>
            </w14:solidFill>
          </w14:textFill>
        </w:rPr>
        <w:t>目     录</w:t>
      </w:r>
    </w:p>
    <w:p w14:paraId="7046F15D">
      <w:pPr>
        <w:pStyle w:val="20"/>
        <w:keepNext w:val="0"/>
        <w:keepLines w:val="0"/>
        <w:pageBreakBefore w:val="0"/>
        <w:widowControl/>
        <w:tabs>
          <w:tab w:val="right" w:leader="dot" w:pos="8306"/>
          <w:tab w:val="clear" w:pos="829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TOC \o "1-2" \h \z \u </w:instrText>
      </w:r>
      <w:r>
        <w:rPr>
          <w:rFonts w:hint="default" w:ascii="Times New Roman" w:hAnsi="Times New Roman" w:cs="Times New Roman"/>
        </w:rPr>
        <w:fldChar w:fldCharType="separate"/>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_Toc8762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1 前言</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_Toc8762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1</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6F55B907">
      <w:pPr>
        <w:pStyle w:val="20"/>
        <w:keepNext w:val="0"/>
        <w:keepLines w:val="0"/>
        <w:pageBreakBefore w:val="0"/>
        <w:widowControl/>
        <w:tabs>
          <w:tab w:val="right" w:leader="dot" w:pos="8306"/>
          <w:tab w:val="clear" w:pos="829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_Toc9765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2验收依据</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_Toc9765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4</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257ADBC6">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_Toc32651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2.1 国家有关法律、法规、规章和规范</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_Toc32651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4</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5B222EA0">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_Toc2135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2.2 江苏省及南通市有关法规、规章</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_Toc2135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5</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4724898B">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_Toc8618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2.3 其他资料</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_Toc8618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5</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242AEA38">
      <w:pPr>
        <w:pStyle w:val="20"/>
        <w:keepNext w:val="0"/>
        <w:keepLines w:val="0"/>
        <w:pageBreakBefore w:val="0"/>
        <w:widowControl/>
        <w:tabs>
          <w:tab w:val="right" w:leader="dot" w:pos="8306"/>
          <w:tab w:val="clear" w:pos="829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_Toc8822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3工程建设情况</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_Toc8822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7</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1C50B2B4">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_Toc16886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3.1 地理位置及平面布置</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_Toc16886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7</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2E66F6E9">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_Toc9531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3.2 建设内容</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_Toc9531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7</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0190E9C3">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_Toc32712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3.3 主要原辅材料、燃料及水平衡</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_Toc32712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15</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3B5DFB25">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_Toc17918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3.4 生产工艺</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_Toc17918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15</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76D3604A">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_Toc2297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3.5 主要生产设备</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_Toc2297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20</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4A6E60B8">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_Toc31140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3.6 项目变动情况</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_Toc31140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23</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764C1BEC">
      <w:pPr>
        <w:pStyle w:val="20"/>
        <w:keepNext w:val="0"/>
        <w:keepLines w:val="0"/>
        <w:pageBreakBefore w:val="0"/>
        <w:widowControl/>
        <w:tabs>
          <w:tab w:val="right" w:leader="dot" w:pos="8306"/>
          <w:tab w:val="clear" w:pos="829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_Toc19325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4环境保护设施</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_Toc19325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29</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24C1784D">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_Toc14419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4.1污染物治理/处理设施</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_Toc14419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29</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5DEDB183">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_Toc8418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4.2 其他环保设施</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_Toc8418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38</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7B0D9F10">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_Toc6004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4.3环保设施投资及“三同时”落实情况</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_Toc6004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40</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407D7531">
      <w:pPr>
        <w:pStyle w:val="20"/>
        <w:keepNext w:val="0"/>
        <w:keepLines w:val="0"/>
        <w:pageBreakBefore w:val="0"/>
        <w:widowControl/>
        <w:tabs>
          <w:tab w:val="right" w:leader="dot" w:pos="8306"/>
          <w:tab w:val="clear" w:pos="829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_Toc10931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szCs w:val="32"/>
        </w:rPr>
        <w:t>5项目环评报告书主要结论与建议及审批部门审批决定</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_Toc10931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42</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26E801DD">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_Toc13572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5.1</w:t>
      </w:r>
      <w:r>
        <w:rPr>
          <w:rFonts w:hint="default" w:ascii="Times New Roman" w:hAnsi="Times New Roman" w:eastAsia="方正仿宋_GBK" w:cs="Times New Roman"/>
          <w:lang w:val="en-US" w:eastAsia="zh-CN"/>
        </w:rPr>
        <w:t xml:space="preserve"> 项目环评报告书主要结论</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_Toc13572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42</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3F04BF5F">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_Toc3860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5.2 审批部门审批决定</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_Toc3860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42</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02F10072">
      <w:pPr>
        <w:pStyle w:val="20"/>
        <w:keepNext w:val="0"/>
        <w:keepLines w:val="0"/>
        <w:pageBreakBefore w:val="0"/>
        <w:widowControl/>
        <w:tabs>
          <w:tab w:val="right" w:leader="dot" w:pos="8306"/>
          <w:tab w:val="clear" w:pos="829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_Toc1614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6  验收执行标准</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_Toc1614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47</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53905AB2">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_Toc32525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6.1 废水</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_Toc32525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47</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0105B617">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_Toc28028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6.2 废气</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_Toc28028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47</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025A1FDC">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_Toc31837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6.3 噪声</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_Toc31837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48</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3BC7F28A">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_Toc21664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6.4 固废</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_Toc21664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49</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35F800F9">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_Toc17109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6.5 总量控制指标</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_Toc17109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49</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3AA766E6">
      <w:pPr>
        <w:pStyle w:val="20"/>
        <w:keepNext w:val="0"/>
        <w:keepLines w:val="0"/>
        <w:pageBreakBefore w:val="0"/>
        <w:widowControl/>
        <w:tabs>
          <w:tab w:val="right" w:leader="dot" w:pos="8306"/>
          <w:tab w:val="clear" w:pos="829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_Toc16937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7  验收监测内容</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_Toc16937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50</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03C9CCED">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_Toc6531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7.1 废水</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_Toc6531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50</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69CAECF9">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_Toc14817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7.2 废气</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_Toc14817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50</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77E56B82">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_Toc12854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7.3 厂界噪声</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_Toc12854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53</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368507D9">
      <w:pPr>
        <w:pStyle w:val="20"/>
        <w:keepNext w:val="0"/>
        <w:keepLines w:val="0"/>
        <w:pageBreakBefore w:val="0"/>
        <w:widowControl/>
        <w:tabs>
          <w:tab w:val="right" w:leader="dot" w:pos="8306"/>
          <w:tab w:val="clear" w:pos="829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_Toc5854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8  质量保证及质量控制</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_Toc5854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54</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332D851B">
      <w:pPr>
        <w:pStyle w:val="20"/>
        <w:keepNext w:val="0"/>
        <w:keepLines w:val="0"/>
        <w:pageBreakBefore w:val="0"/>
        <w:widowControl/>
        <w:tabs>
          <w:tab w:val="right" w:leader="dot" w:pos="8306"/>
          <w:tab w:val="clear" w:pos="829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_Toc12832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9验收监测结果</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_Toc12832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58</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6FB964DC">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_Toc11799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9.1 生产工况</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_Toc11799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58</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747D05FB">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_Toc5291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9.2 环境保护设施调试效果</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_Toc5291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59</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2CD33ACD">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_Toc18038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9.3 污染物排放总量核算</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_Toc18038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66</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7F5D006B">
      <w:pPr>
        <w:pStyle w:val="20"/>
        <w:keepNext w:val="0"/>
        <w:keepLines w:val="0"/>
        <w:pageBreakBefore w:val="0"/>
        <w:widowControl/>
        <w:tabs>
          <w:tab w:val="right" w:leader="dot" w:pos="8306"/>
          <w:tab w:val="clear" w:pos="829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_Toc25008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10  环评批复落实情况</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_Toc25008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68</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1235B352">
      <w:pPr>
        <w:pStyle w:val="20"/>
        <w:keepNext w:val="0"/>
        <w:keepLines w:val="0"/>
        <w:pageBreakBefore w:val="0"/>
        <w:widowControl/>
        <w:tabs>
          <w:tab w:val="right" w:leader="dot" w:pos="8306"/>
          <w:tab w:val="clear" w:pos="829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_Toc6813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11验收监测结论及建议</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_Toc6813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71</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0A3F9200">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_Toc15031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11.1 结论</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_Toc15031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71</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08399CDC">
      <w:pPr>
        <w:pStyle w:val="22"/>
        <w:keepNext w:val="0"/>
        <w:keepLines w:val="0"/>
        <w:pageBreakBefore w:val="0"/>
        <w:widowControl/>
        <w:tabs>
          <w:tab w:val="right" w:leader="dot" w:pos="8306"/>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_Toc31163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11.2 建议</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_Toc31163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71</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196DF6B9">
      <w:pPr>
        <w:pStyle w:val="20"/>
        <w:keepNext w:val="0"/>
        <w:keepLines w:val="0"/>
        <w:pageBreakBefore w:val="0"/>
        <w:widowControl/>
        <w:tabs>
          <w:tab w:val="right" w:leader="dot" w:pos="8306"/>
          <w:tab w:val="clear" w:pos="8296"/>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HYPERLINK \l _Toc7913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12  建设项目环境保护“三同时”竣工验收登记表</w:t>
      </w:r>
      <w:r>
        <w:rPr>
          <w:rFonts w:hint="default" w:ascii="Times New Roman" w:hAnsi="Times New Roman" w:eastAsia="方正仿宋_GBK" w:cs="Times New Roman"/>
        </w:rPr>
        <w:tab/>
      </w: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 PAGEREF _Toc7913 \h </w:instrText>
      </w:r>
      <w:r>
        <w:rPr>
          <w:rFonts w:hint="default" w:ascii="Times New Roman" w:hAnsi="Times New Roman" w:eastAsia="方正仿宋_GBK" w:cs="Times New Roman"/>
        </w:rPr>
        <w:fldChar w:fldCharType="separate"/>
      </w:r>
      <w:r>
        <w:rPr>
          <w:rFonts w:hint="default" w:ascii="Times New Roman" w:hAnsi="Times New Roman" w:eastAsia="方正仿宋_GBK" w:cs="Times New Roman"/>
        </w:rPr>
        <w:t>73</w:t>
      </w:r>
      <w:r>
        <w:rPr>
          <w:rFonts w:hint="default" w:ascii="Times New Roman" w:hAnsi="Times New Roman" w:eastAsia="方正仿宋_GBK" w:cs="Times New Roman"/>
        </w:rPr>
        <w:fldChar w:fldCharType="end"/>
      </w:r>
      <w:r>
        <w:rPr>
          <w:rFonts w:hint="default" w:ascii="Times New Roman" w:hAnsi="Times New Roman" w:eastAsia="方正仿宋_GBK" w:cs="Times New Roman"/>
        </w:rPr>
        <w:fldChar w:fldCharType="end"/>
      </w:r>
    </w:p>
    <w:p w14:paraId="26FB2BFB">
      <w:pPr>
        <w:spacing w:line="600" w:lineRule="exact"/>
        <w:ind w:firstLine="0" w:firstLineChars="0"/>
        <w:rPr>
          <w:rFonts w:hint="default" w:ascii="Times New Roman" w:hAnsi="Times New Roman" w:cs="Times New Roman"/>
        </w:rPr>
      </w:pPr>
      <w:r>
        <w:rPr>
          <w:rFonts w:hint="default" w:ascii="Times New Roman" w:hAnsi="Times New Roman" w:eastAsia="仿宋" w:cs="Times New Roman"/>
        </w:rPr>
        <w:fldChar w:fldCharType="end"/>
      </w:r>
    </w:p>
    <w:p w14:paraId="2A788B20">
      <w:pPr>
        <w:ind w:firstLine="560"/>
        <w:rPr>
          <w:rFonts w:hint="default" w:ascii="Times New Roman" w:hAnsi="Times New Roman" w:cs="Times New Roman"/>
          <w:color w:val="000000"/>
        </w:rPr>
        <w:sectPr>
          <w:pgSz w:w="11906" w:h="16838"/>
          <w:pgMar w:top="1440" w:right="1800" w:bottom="1440" w:left="1800" w:header="851" w:footer="992" w:gutter="0"/>
          <w:cols w:space="425" w:num="1"/>
          <w:titlePg/>
          <w:docGrid w:type="lines" w:linePitch="381" w:charSpace="0"/>
        </w:sectPr>
      </w:pPr>
    </w:p>
    <w:p w14:paraId="4107C233">
      <w:pPr>
        <w:pStyle w:val="2"/>
        <w:spacing w:before="312" w:after="312"/>
        <w:rPr>
          <w:rFonts w:hint="default" w:ascii="Times New Roman" w:hAnsi="Times New Roman" w:cs="Times New Roman"/>
          <w:color w:val="000000"/>
        </w:rPr>
      </w:pPr>
      <w:bookmarkStart w:id="0" w:name="_Toc8762"/>
      <w:bookmarkStart w:id="1" w:name="_Toc5204516"/>
      <w:r>
        <w:rPr>
          <w:rFonts w:hint="default" w:ascii="Times New Roman" w:hAnsi="Times New Roman" w:cs="Times New Roman"/>
          <w:color w:val="000000"/>
        </w:rPr>
        <w:t>1 前言</w:t>
      </w:r>
      <w:bookmarkEnd w:id="0"/>
      <w:bookmarkEnd w:id="1"/>
    </w:p>
    <w:p w14:paraId="23AB1146">
      <w:pPr>
        <w:keepNext w:val="0"/>
        <w:keepLines w:val="0"/>
        <w:pageBreakBefore w:val="0"/>
        <w:widowControl w:val="0"/>
        <w:kinsoku/>
        <w:wordWrap/>
        <w:overflowPunct/>
        <w:topLinePunct w:val="0"/>
        <w:autoSpaceDE w:val="0"/>
        <w:autoSpaceDN w:val="0"/>
        <w:bidi w:val="0"/>
        <w:adjustRightInd w:val="0"/>
        <w:snapToGrid/>
        <w:spacing w:line="480" w:lineRule="exact"/>
        <w:ind w:firstLine="560"/>
        <w:textAlignment w:val="auto"/>
        <w:rPr>
          <w:rFonts w:hint="default" w:ascii="Times New Roman" w:hAnsi="Times New Roman" w:eastAsia="仿宋" w:cs="Times New Roman"/>
          <w:bCs/>
          <w:snapToGrid w:val="0"/>
          <w:sz w:val="28"/>
        </w:rPr>
      </w:pPr>
      <w:r>
        <w:rPr>
          <w:rFonts w:hint="default" w:ascii="Times New Roman" w:hAnsi="Times New Roman" w:eastAsia="仿宋" w:cs="Times New Roman"/>
          <w:snapToGrid w:val="0"/>
          <w:sz w:val="28"/>
          <w:szCs w:val="28"/>
        </w:rPr>
        <w:t>江苏</w:t>
      </w:r>
      <w:r>
        <w:rPr>
          <w:rFonts w:hint="default" w:ascii="Times New Roman" w:hAnsi="Times New Roman" w:eastAsia="仿宋" w:cs="Times New Roman"/>
          <w:snapToGrid w:val="0"/>
          <w:sz w:val="28"/>
          <w:szCs w:val="28"/>
          <w:lang w:val="en-US" w:eastAsia="zh-CN"/>
        </w:rPr>
        <w:t>九州星际新材料有限公司</w:t>
      </w:r>
      <w:r>
        <w:rPr>
          <w:rFonts w:hint="default" w:ascii="Times New Roman" w:hAnsi="Times New Roman" w:eastAsia="仿宋" w:cs="Times New Roman"/>
          <w:snapToGrid w:val="0"/>
          <w:sz w:val="28"/>
          <w:szCs w:val="28"/>
        </w:rPr>
        <w:t>位于江苏省如东洋口港经济开发区临港工业区二期，</w:t>
      </w:r>
      <w:r>
        <w:rPr>
          <w:rFonts w:hint="default" w:ascii="Times New Roman" w:hAnsi="Times New Roman" w:eastAsia="仿宋" w:cs="Times New Roman"/>
          <w:snapToGrid w:val="0"/>
          <w:sz w:val="28"/>
          <w:szCs w:val="28"/>
          <w:lang w:val="en-US" w:eastAsia="zh-CN"/>
        </w:rPr>
        <w:t>公司成立于2021年7月，主要经营范围为：高性能纤维及复合材料制造，高性能纤维及复合材料销售；新材料技术研发；新材料技术推广服务。公司</w:t>
      </w:r>
      <w:r>
        <w:rPr>
          <w:rFonts w:hint="default" w:ascii="Times New Roman" w:hAnsi="Times New Roman" w:eastAsia="仿宋" w:cs="Times New Roman"/>
          <w:snapToGrid w:val="0"/>
          <w:color w:val="000000" w:themeColor="text1"/>
          <w:sz w:val="28"/>
          <w:szCs w:val="28"/>
          <w14:textFill>
            <w14:solidFill>
              <w14:schemeClr w14:val="tx1"/>
            </w14:solidFill>
          </w14:textFill>
        </w:rPr>
        <w:t>20000吨/年超高分子量聚乙烯纤维项目于2023年3月21日通过江苏如东洋口港经济开发区管理委员会环评审批(港管环</w:t>
      </w:r>
      <w:r>
        <w:rPr>
          <w:rFonts w:hint="default" w:ascii="Times New Roman" w:hAnsi="Times New Roman" w:eastAsia="仿宋" w:cs="Times New Roman"/>
          <w:bCs/>
          <w:lang w:eastAsia="zh-CN"/>
        </w:rPr>
        <w:t>[</w:t>
      </w:r>
      <w:r>
        <w:rPr>
          <w:rFonts w:hint="default" w:ascii="Times New Roman" w:hAnsi="Times New Roman" w:eastAsia="仿宋" w:cs="Times New Roman"/>
          <w:snapToGrid w:val="0"/>
          <w:color w:val="000000" w:themeColor="text1"/>
          <w:sz w:val="28"/>
          <w:szCs w:val="28"/>
          <w14:textFill>
            <w14:solidFill>
              <w14:schemeClr w14:val="tx1"/>
            </w14:solidFill>
          </w14:textFill>
        </w:rPr>
        <w:t>2023]4号)。</w:t>
      </w:r>
      <w:r>
        <w:rPr>
          <w:rFonts w:hint="default" w:ascii="Times New Roman" w:hAnsi="Times New Roman" w:eastAsia="仿宋" w:cs="Times New Roman"/>
          <w:snapToGrid w:val="0"/>
          <w:color w:val="000000" w:themeColor="text1"/>
          <w:sz w:val="28"/>
          <w:szCs w:val="28"/>
          <w:lang w:val="en-US" w:eastAsia="zh-CN"/>
          <w14:textFill>
            <w14:solidFill>
              <w14:schemeClr w14:val="tx1"/>
            </w14:solidFill>
          </w14:textFill>
        </w:rPr>
        <w:t>该项目分阶段进行验收，其中一阶段车间二3040吨/年超高分子量聚乙烯纤维、车间三2784吨/年超高分子量聚乙烯纤维、</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车间四 2784吨/年</w:t>
      </w:r>
      <w:r>
        <w:rPr>
          <w:rFonts w:hint="default" w:ascii="Times New Roman" w:hAnsi="Times New Roman" w:eastAsia="仿宋" w:cs="Times New Roman"/>
          <w:snapToGrid w:val="0"/>
          <w:color w:val="000000" w:themeColor="text1"/>
          <w:sz w:val="28"/>
          <w:szCs w:val="28"/>
          <w:lang w:val="en-US" w:eastAsia="zh-CN"/>
          <w14:textFill>
            <w14:solidFill>
              <w14:schemeClr w14:val="tx1"/>
            </w14:solidFill>
          </w14:textFill>
        </w:rPr>
        <w:t>超高分子量聚乙烯纤维于2025年3月</w:t>
      </w:r>
      <w:r>
        <w:rPr>
          <w:rFonts w:hint="default" w:ascii="Times New Roman" w:hAnsi="Times New Roman" w:eastAsia="仿宋" w:cs="Times New Roman"/>
          <w:bCs/>
          <w:snapToGrid w:val="0"/>
          <w:sz w:val="28"/>
        </w:rPr>
        <w:t>完成竣工环境保护</w:t>
      </w:r>
      <w:r>
        <w:rPr>
          <w:rFonts w:hint="default" w:ascii="Times New Roman" w:hAnsi="Times New Roman" w:eastAsia="仿宋" w:cs="Times New Roman"/>
          <w:bCs/>
          <w:snapToGrid w:val="0"/>
          <w:sz w:val="28"/>
          <w:lang w:val="en-US" w:eastAsia="zh-CN"/>
        </w:rPr>
        <w:t>自主</w:t>
      </w:r>
      <w:r>
        <w:rPr>
          <w:rFonts w:hint="default" w:ascii="Times New Roman" w:hAnsi="Times New Roman" w:eastAsia="仿宋" w:cs="Times New Roman"/>
          <w:bCs/>
          <w:snapToGrid w:val="0"/>
          <w:sz w:val="28"/>
        </w:rPr>
        <w:t>验收。</w:t>
      </w:r>
    </w:p>
    <w:p w14:paraId="24847F58">
      <w:pPr>
        <w:keepNext w:val="0"/>
        <w:keepLines w:val="0"/>
        <w:pageBreakBefore w:val="0"/>
        <w:widowControl w:val="0"/>
        <w:kinsoku/>
        <w:wordWrap/>
        <w:overflowPunct/>
        <w:topLinePunct w:val="0"/>
        <w:autoSpaceDE w:val="0"/>
        <w:autoSpaceDN w:val="0"/>
        <w:bidi w:val="0"/>
        <w:adjustRightInd w:val="0"/>
        <w:snapToGrid/>
        <w:spacing w:line="480" w:lineRule="exact"/>
        <w:ind w:firstLine="560"/>
        <w:textAlignment w:val="auto"/>
        <w:rPr>
          <w:rFonts w:hint="default" w:ascii="Times New Roman" w:hAnsi="Times New Roman" w:eastAsia="仿宋" w:cs="Times New Roman"/>
          <w:bCs/>
          <w:lang w:eastAsia="zh-CN"/>
        </w:rPr>
      </w:pPr>
      <w:r>
        <w:rPr>
          <w:rFonts w:hint="default" w:ascii="Times New Roman" w:hAnsi="Times New Roman" w:eastAsia="仿宋" w:cs="Times New Roman"/>
          <w:sz w:val="28"/>
          <w:szCs w:val="28"/>
        </w:rPr>
        <w:t>本次验收项目为</w:t>
      </w:r>
      <w:r>
        <w:rPr>
          <w:rFonts w:hint="default" w:ascii="Times New Roman" w:hAnsi="Times New Roman" w:eastAsia="仿宋" w:cs="Times New Roman"/>
          <w:bCs/>
          <w:snapToGrid w:val="0"/>
          <w:sz w:val="28"/>
          <w:lang w:val="en-US" w:eastAsia="zh-CN"/>
        </w:rPr>
        <w:t>二阶段车间五</w:t>
      </w:r>
      <w:r>
        <w:rPr>
          <w:rFonts w:hint="default" w:ascii="Times New Roman" w:hAnsi="Times New Roman" w:eastAsia="仿宋" w:cs="Times New Roman"/>
          <w:snapToGrid w:val="0"/>
          <w:color w:val="000000" w:themeColor="text1"/>
          <w:sz w:val="28"/>
          <w:szCs w:val="28"/>
          <w:lang w:val="en-US" w:eastAsia="zh-CN"/>
          <w14:textFill>
            <w14:solidFill>
              <w14:schemeClr w14:val="tx1"/>
            </w14:solidFill>
          </w14:textFill>
        </w:rPr>
        <w:t>2784吨/年超高分子量聚乙烯纤维项目</w:t>
      </w:r>
      <w:r>
        <w:rPr>
          <w:rFonts w:hint="default" w:ascii="Times New Roman" w:hAnsi="Times New Roman" w:eastAsia="仿宋" w:cs="Times New Roman"/>
          <w:bCs/>
          <w:snapToGrid w:val="0"/>
          <w:sz w:val="28"/>
          <w:lang w:eastAsia="zh-CN"/>
        </w:rPr>
        <w:t>，于2025年3月12日开始安装，配套环保设施均已完成，于2025年6月15日进入试运行</w:t>
      </w:r>
      <w:r>
        <w:rPr>
          <w:rFonts w:hint="default" w:ascii="Times New Roman" w:hAnsi="Times New Roman" w:eastAsia="仿宋" w:cs="Times New Roman"/>
          <w:bCs/>
          <w:lang w:eastAsia="zh-CN"/>
        </w:rPr>
        <w:t>。</w:t>
      </w:r>
    </w:p>
    <w:p w14:paraId="7ABCB63E">
      <w:pPr>
        <w:pStyle w:val="10"/>
        <w:spacing w:line="480" w:lineRule="exact"/>
        <w:ind w:firstLine="56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202</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年6月</w:t>
      </w:r>
      <w:r>
        <w:rPr>
          <w:rFonts w:hint="default"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rPr>
        <w:t>日，</w:t>
      </w:r>
      <w:r>
        <w:rPr>
          <w:rFonts w:hint="default" w:ascii="Times New Roman" w:hAnsi="Times New Roman" w:eastAsia="仿宋" w:cs="Times New Roman"/>
          <w:sz w:val="28"/>
          <w:szCs w:val="28"/>
          <w:lang w:eastAsia="zh-CN"/>
        </w:rPr>
        <w:t>江苏九州星际新材料有限公司</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eastAsia="zh-CN"/>
        </w:rPr>
        <w:t>年产20000 吨超高分子量聚乙烯纤维项目</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eastAsia="zh-CN"/>
        </w:rPr>
        <w:t>第二阶段：车间五年产2784吨超高分子量聚乙烯纤维项目</w:t>
      </w:r>
      <w:r>
        <w:rPr>
          <w:rFonts w:hint="default" w:ascii="Times New Roman" w:hAnsi="Times New Roman" w:eastAsia="仿宋" w:cs="Times New Roman"/>
          <w:sz w:val="28"/>
          <w:szCs w:val="28"/>
        </w:rPr>
        <w:t>）”试运行信息在公司官网开始公示（拟定试运行时间为202</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年6月1</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日至202</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年6月1</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日）。</w:t>
      </w:r>
    </w:p>
    <w:p w14:paraId="09D38D61">
      <w:pPr>
        <w:pStyle w:val="10"/>
        <w:keepNext w:val="0"/>
        <w:keepLines w:val="0"/>
        <w:pageBreakBefore w:val="0"/>
        <w:widowControl w:val="0"/>
        <w:kinsoku/>
        <w:wordWrap/>
        <w:overflowPunct/>
        <w:topLinePunct w:val="0"/>
        <w:bidi w:val="0"/>
        <w:snapToGrid/>
        <w:spacing w:line="480" w:lineRule="exact"/>
        <w:textAlignment w:val="auto"/>
        <w:rPr>
          <w:rFonts w:hint="default" w:ascii="Times New Roman" w:hAnsi="Times New Roman" w:eastAsia="仿宋" w:cs="Times New Roman"/>
          <w:bCs/>
          <w:sz w:val="28"/>
          <w:szCs w:val="28"/>
          <w:lang w:val="en-US" w:eastAsia="zh-CN" w:bidi="ar-SA"/>
        </w:rPr>
      </w:pPr>
      <w:r>
        <w:rPr>
          <w:rFonts w:hint="default" w:ascii="Times New Roman" w:hAnsi="Times New Roman" w:eastAsia="仿宋" w:cs="Times New Roman"/>
          <w:bCs/>
          <w:sz w:val="28"/>
          <w:szCs w:val="28"/>
          <w:lang w:val="en-US" w:eastAsia="zh-CN" w:bidi="ar-SA"/>
        </w:rPr>
        <w:t>企业针对该项目已经编制了突发环境事件应急预案，备案文件详见附件。另外，经对照可知，本项目属于二十三、化学纤维制造业；60合成纤维制造282；其他合成纤维制造2829，属于《固定污染源排污许可分类管理名录》（2019）内重点管理，企业已在全国排污许可证信息平台上进行了排污许可证申领。</w:t>
      </w:r>
    </w:p>
    <w:p w14:paraId="1211793A">
      <w:pPr>
        <w:keepNext w:val="0"/>
        <w:keepLines w:val="0"/>
        <w:pageBreakBefore w:val="0"/>
        <w:widowControl w:val="0"/>
        <w:kinsoku/>
        <w:wordWrap/>
        <w:overflowPunct/>
        <w:topLinePunct w:val="0"/>
        <w:autoSpaceDE w:val="0"/>
        <w:autoSpaceDN w:val="0"/>
        <w:bidi w:val="0"/>
        <w:adjustRightInd w:val="0"/>
        <w:snapToGrid/>
        <w:spacing w:line="480" w:lineRule="exact"/>
        <w:ind w:firstLine="560"/>
        <w:textAlignment w:val="auto"/>
        <w:rPr>
          <w:rFonts w:hint="default" w:ascii="Times New Roman" w:hAnsi="Times New Roman" w:eastAsia="仿宋" w:cs="Times New Roman"/>
          <w:bCs/>
          <w:snapToGrid w:val="0"/>
          <w:sz w:val="28"/>
        </w:rPr>
      </w:pPr>
      <w:r>
        <w:rPr>
          <w:rFonts w:hint="default" w:ascii="Times New Roman" w:hAnsi="Times New Roman" w:eastAsia="仿宋" w:cs="Times New Roman"/>
          <w:color w:val="000000" w:themeColor="text1"/>
          <w14:textFill>
            <w14:solidFill>
              <w14:schemeClr w14:val="tx1"/>
            </w14:solidFill>
          </w14:textFill>
        </w:rPr>
        <w:t>根据《建设项目环境保护管理条例》（国务院令[2017]第682号）、《建设项目竣工环境保护验收暂行办法》（国环规环评[2017]4号）等文件的要求，</w:t>
      </w:r>
      <w:bookmarkStart w:id="2" w:name="_Hlk520391046"/>
      <w:r>
        <w:rPr>
          <w:rFonts w:hint="default" w:ascii="Times New Roman" w:hAnsi="Times New Roman" w:eastAsia="仿宋" w:cs="Times New Roman"/>
          <w:color w:val="000000" w:themeColor="text1"/>
          <w:lang w:eastAsia="zh-CN"/>
          <w14:textFill>
            <w14:solidFill>
              <w14:schemeClr w14:val="tx1"/>
            </w14:solidFill>
          </w14:textFill>
        </w:rPr>
        <w:t>江苏九州星际新材料有限公司</w:t>
      </w:r>
      <w:r>
        <w:rPr>
          <w:rFonts w:hint="default" w:ascii="Times New Roman" w:hAnsi="Times New Roman" w:eastAsia="仿宋" w:cs="Times New Roman"/>
        </w:rPr>
        <w:t>于202</w:t>
      </w:r>
      <w:r>
        <w:rPr>
          <w:rFonts w:hint="default" w:ascii="Times New Roman" w:hAnsi="Times New Roman" w:eastAsia="仿宋" w:cs="Times New Roman"/>
          <w:lang w:val="en-US" w:eastAsia="zh-CN"/>
        </w:rPr>
        <w:t>5</w:t>
      </w:r>
      <w:r>
        <w:rPr>
          <w:rFonts w:hint="default" w:ascii="Times New Roman" w:hAnsi="Times New Roman" w:eastAsia="仿宋" w:cs="Times New Roman"/>
        </w:rPr>
        <w:t>年</w:t>
      </w:r>
      <w:r>
        <w:rPr>
          <w:rFonts w:hint="default" w:ascii="Times New Roman" w:hAnsi="Times New Roman" w:eastAsia="仿宋" w:cs="Times New Roman"/>
          <w:lang w:val="en-US" w:eastAsia="zh-CN"/>
        </w:rPr>
        <w:t>9</w:t>
      </w:r>
      <w:r>
        <w:rPr>
          <w:rFonts w:hint="default" w:ascii="Times New Roman" w:hAnsi="Times New Roman" w:eastAsia="仿宋" w:cs="Times New Roman"/>
        </w:rPr>
        <w:t>月成立项目</w:t>
      </w:r>
      <w:bookmarkStart w:id="3" w:name="_Hlk57192667"/>
      <w:r>
        <w:rPr>
          <w:rFonts w:hint="default" w:ascii="Times New Roman" w:hAnsi="Times New Roman" w:eastAsia="仿宋" w:cs="Times New Roman"/>
        </w:rPr>
        <w:t>竣工环境保护验收工作</w:t>
      </w:r>
      <w:bookmarkEnd w:id="3"/>
      <w:r>
        <w:rPr>
          <w:rFonts w:hint="default" w:ascii="Times New Roman" w:hAnsi="Times New Roman" w:eastAsia="仿宋" w:cs="Times New Roman"/>
        </w:rPr>
        <w:t>组，开展“</w:t>
      </w:r>
      <w:r>
        <w:rPr>
          <w:rFonts w:hint="default" w:ascii="Times New Roman" w:hAnsi="Times New Roman" w:eastAsia="仿宋" w:cs="Times New Roman"/>
          <w:lang w:eastAsia="zh-CN"/>
        </w:rPr>
        <w:t>年产20000 吨超高分子量聚乙烯纤维项目</w:t>
      </w:r>
      <w:r>
        <w:rPr>
          <w:rFonts w:hint="default" w:ascii="Times New Roman" w:hAnsi="Times New Roman" w:eastAsia="仿宋" w:cs="Times New Roman"/>
        </w:rPr>
        <w:t>（</w:t>
      </w:r>
      <w:r>
        <w:rPr>
          <w:rFonts w:hint="default" w:ascii="Times New Roman" w:hAnsi="Times New Roman" w:eastAsia="仿宋" w:cs="Times New Roman"/>
          <w:lang w:eastAsia="zh-CN"/>
        </w:rPr>
        <w:t>第二阶段：车间五年产2784吨超高分子量聚乙烯纤维项目</w:t>
      </w:r>
      <w:r>
        <w:rPr>
          <w:rFonts w:hint="default" w:ascii="Times New Roman" w:hAnsi="Times New Roman" w:eastAsia="仿宋" w:cs="Times New Roman"/>
        </w:rPr>
        <w:t>）”验收工作。工作组于202</w:t>
      </w:r>
      <w:r>
        <w:rPr>
          <w:rFonts w:hint="default" w:ascii="Times New Roman" w:hAnsi="Times New Roman" w:eastAsia="仿宋" w:cs="Times New Roman"/>
          <w:lang w:val="en-US" w:eastAsia="zh-CN"/>
        </w:rPr>
        <w:t>5</w:t>
      </w:r>
      <w:r>
        <w:rPr>
          <w:rFonts w:hint="default" w:ascii="Times New Roman" w:hAnsi="Times New Roman" w:eastAsia="仿宋" w:cs="Times New Roman"/>
        </w:rPr>
        <w:t>年</w:t>
      </w:r>
      <w:r>
        <w:rPr>
          <w:rFonts w:hint="default" w:ascii="Times New Roman" w:hAnsi="Times New Roman" w:eastAsia="仿宋" w:cs="Times New Roman"/>
          <w:lang w:val="en-US" w:eastAsia="zh-CN"/>
        </w:rPr>
        <w:t>9-10月</w:t>
      </w:r>
      <w:r>
        <w:rPr>
          <w:rFonts w:hint="default" w:ascii="Times New Roman" w:hAnsi="Times New Roman" w:eastAsia="仿宋" w:cs="Times New Roman"/>
        </w:rPr>
        <w:t>对该项目废气、废水、噪声、固体废弃物等污染物排放现状和各类环境保护设施进行了现场勘查，在现场踏勘和资料研读的基础上编制了验收监测方案。</w:t>
      </w:r>
      <w:r>
        <w:rPr>
          <w:rFonts w:hint="default" w:ascii="Times New Roman" w:hAnsi="Times New Roman" w:eastAsia="仿宋" w:cs="Times New Roman"/>
          <w:color w:val="000000"/>
        </w:rPr>
        <w:t>202</w:t>
      </w:r>
      <w:r>
        <w:rPr>
          <w:rFonts w:hint="default" w:ascii="Times New Roman" w:hAnsi="Times New Roman" w:eastAsia="仿宋" w:cs="Times New Roman"/>
          <w:color w:val="000000"/>
          <w:lang w:val="en-US" w:eastAsia="zh-CN"/>
        </w:rPr>
        <w:t>5</w:t>
      </w:r>
      <w:r>
        <w:rPr>
          <w:rFonts w:hint="default" w:ascii="Times New Roman" w:hAnsi="Times New Roman" w:eastAsia="仿宋" w:cs="Times New Roman"/>
          <w:color w:val="000000"/>
        </w:rPr>
        <w:t>年</w:t>
      </w:r>
      <w:r>
        <w:rPr>
          <w:rFonts w:hint="default" w:ascii="Times New Roman" w:hAnsi="Times New Roman" w:eastAsia="仿宋" w:cs="Times New Roman"/>
          <w:color w:val="000000"/>
          <w:lang w:val="en-US" w:eastAsia="zh-CN"/>
        </w:rPr>
        <w:t>9</w:t>
      </w:r>
      <w:r>
        <w:rPr>
          <w:rFonts w:hint="default" w:ascii="Times New Roman" w:hAnsi="Times New Roman" w:eastAsia="仿宋" w:cs="Times New Roman"/>
          <w:color w:val="000000"/>
        </w:rPr>
        <w:t>月</w:t>
      </w:r>
      <w:r>
        <w:rPr>
          <w:rFonts w:hint="default" w:ascii="Times New Roman" w:hAnsi="Times New Roman" w:eastAsia="仿宋" w:cs="Times New Roman"/>
          <w:color w:val="000000"/>
          <w:lang w:val="en-US" w:eastAsia="zh-CN"/>
        </w:rPr>
        <w:t>2</w:t>
      </w:r>
      <w:r>
        <w:rPr>
          <w:rFonts w:hint="default" w:ascii="Times New Roman" w:hAnsi="Times New Roman" w:eastAsia="仿宋" w:cs="Times New Roman"/>
          <w:color w:val="000000"/>
        </w:rPr>
        <w:t>8日-</w:t>
      </w:r>
      <w:r>
        <w:rPr>
          <w:rFonts w:hint="default" w:ascii="Times New Roman" w:hAnsi="Times New Roman" w:eastAsia="仿宋" w:cs="Times New Roman"/>
          <w:color w:val="000000"/>
          <w:lang w:val="en-US" w:eastAsia="zh-CN"/>
        </w:rPr>
        <w:t>9</w:t>
      </w:r>
      <w:r>
        <w:rPr>
          <w:rFonts w:hint="default" w:ascii="Times New Roman" w:hAnsi="Times New Roman" w:eastAsia="仿宋" w:cs="Times New Roman"/>
          <w:color w:val="000000"/>
        </w:rPr>
        <w:t>月</w:t>
      </w:r>
      <w:r>
        <w:rPr>
          <w:rFonts w:hint="default" w:ascii="Times New Roman" w:hAnsi="Times New Roman" w:eastAsia="仿宋" w:cs="Times New Roman"/>
          <w:color w:val="000000"/>
          <w:lang w:val="en-US" w:eastAsia="zh-CN"/>
        </w:rPr>
        <w:t>2</w:t>
      </w:r>
      <w:r>
        <w:rPr>
          <w:rFonts w:hint="default" w:ascii="Times New Roman" w:hAnsi="Times New Roman" w:eastAsia="仿宋" w:cs="Times New Roman"/>
          <w:color w:val="000000"/>
        </w:rPr>
        <w:t>9日</w:t>
      </w:r>
      <w:r>
        <w:rPr>
          <w:rFonts w:hint="eastAsia" w:eastAsia="仿宋" w:cs="Times New Roman"/>
          <w:color w:val="000000"/>
          <w:lang w:eastAsia="zh-CN"/>
        </w:rPr>
        <w:t>、</w:t>
      </w:r>
      <w:r>
        <w:rPr>
          <w:rFonts w:hint="default" w:ascii="Times New Roman" w:hAnsi="Times New Roman" w:eastAsia="仿宋" w:cs="Times New Roman"/>
          <w:color w:val="000000"/>
        </w:rPr>
        <w:t>202</w:t>
      </w:r>
      <w:r>
        <w:rPr>
          <w:rFonts w:hint="default" w:ascii="Times New Roman" w:hAnsi="Times New Roman" w:eastAsia="仿宋" w:cs="Times New Roman"/>
          <w:color w:val="000000"/>
          <w:lang w:val="en-US" w:eastAsia="zh-CN"/>
        </w:rPr>
        <w:t>5</w:t>
      </w:r>
      <w:r>
        <w:rPr>
          <w:rFonts w:hint="default" w:ascii="Times New Roman" w:hAnsi="Times New Roman" w:eastAsia="仿宋" w:cs="Times New Roman"/>
          <w:color w:val="000000"/>
        </w:rPr>
        <w:t>年</w:t>
      </w:r>
      <w:r>
        <w:rPr>
          <w:rFonts w:hint="default" w:ascii="Times New Roman" w:hAnsi="Times New Roman" w:eastAsia="仿宋" w:cs="Times New Roman"/>
          <w:color w:val="000000"/>
          <w:lang w:val="en-US" w:eastAsia="zh-CN"/>
        </w:rPr>
        <w:t>10</w:t>
      </w:r>
      <w:r>
        <w:rPr>
          <w:rFonts w:hint="default" w:ascii="Times New Roman" w:hAnsi="Times New Roman" w:eastAsia="仿宋" w:cs="Times New Roman"/>
          <w:color w:val="000000"/>
        </w:rPr>
        <w:t>月</w:t>
      </w:r>
      <w:r>
        <w:rPr>
          <w:rFonts w:hint="default" w:ascii="Times New Roman" w:hAnsi="Times New Roman" w:eastAsia="仿宋" w:cs="Times New Roman"/>
          <w:color w:val="000000"/>
          <w:lang w:val="en-US" w:eastAsia="zh-CN"/>
        </w:rPr>
        <w:t>17</w:t>
      </w:r>
      <w:r>
        <w:rPr>
          <w:rFonts w:hint="default" w:ascii="Times New Roman" w:hAnsi="Times New Roman" w:eastAsia="仿宋" w:cs="Times New Roman"/>
          <w:color w:val="000000"/>
        </w:rPr>
        <w:t>日-</w:t>
      </w:r>
      <w:r>
        <w:rPr>
          <w:rFonts w:hint="default" w:ascii="Times New Roman" w:hAnsi="Times New Roman" w:eastAsia="仿宋" w:cs="Times New Roman"/>
          <w:color w:val="000000"/>
          <w:lang w:val="en-US" w:eastAsia="zh-CN"/>
        </w:rPr>
        <w:t>10</w:t>
      </w:r>
      <w:r>
        <w:rPr>
          <w:rFonts w:hint="default" w:ascii="Times New Roman" w:hAnsi="Times New Roman" w:eastAsia="仿宋" w:cs="Times New Roman"/>
          <w:color w:val="000000"/>
        </w:rPr>
        <w:t>月</w:t>
      </w:r>
      <w:r>
        <w:rPr>
          <w:rFonts w:hint="default" w:ascii="Times New Roman" w:hAnsi="Times New Roman" w:eastAsia="仿宋" w:cs="Times New Roman"/>
          <w:color w:val="000000"/>
          <w:lang w:val="en-US" w:eastAsia="zh-CN"/>
        </w:rPr>
        <w:t>18</w:t>
      </w:r>
      <w:r>
        <w:rPr>
          <w:rFonts w:hint="default" w:ascii="Times New Roman" w:hAnsi="Times New Roman" w:eastAsia="仿宋" w:cs="Times New Roman"/>
          <w:color w:val="000000"/>
        </w:rPr>
        <w:t>日</w:t>
      </w:r>
      <w:r>
        <w:rPr>
          <w:rFonts w:hint="eastAsia" w:eastAsia="仿宋" w:cs="Times New Roman"/>
          <w:lang w:val="en-US" w:eastAsia="zh-CN"/>
        </w:rPr>
        <w:t>和12月24日</w:t>
      </w:r>
      <w:r>
        <w:rPr>
          <w:rFonts w:hint="default" w:ascii="Times New Roman" w:hAnsi="Times New Roman" w:eastAsia="仿宋" w:cs="Times New Roman"/>
        </w:rPr>
        <w:t>~</w:t>
      </w:r>
      <w:r>
        <w:rPr>
          <w:rFonts w:hint="default" w:ascii="Times New Roman" w:hAnsi="Times New Roman" w:eastAsia="仿宋" w:cs="Times New Roman"/>
          <w:lang w:val="en-US" w:eastAsia="zh-CN"/>
        </w:rPr>
        <w:t>2</w:t>
      </w:r>
      <w:r>
        <w:rPr>
          <w:rFonts w:hint="eastAsia" w:eastAsia="仿宋" w:cs="Times New Roman"/>
          <w:lang w:val="en-US" w:eastAsia="zh-CN"/>
        </w:rPr>
        <w:t>5</w:t>
      </w:r>
      <w:r>
        <w:rPr>
          <w:rFonts w:hint="default" w:ascii="Times New Roman" w:hAnsi="Times New Roman" w:eastAsia="仿宋" w:cs="Times New Roman"/>
        </w:rPr>
        <w:t>日，</w:t>
      </w:r>
      <w:bookmarkStart w:id="4" w:name="_Hlk520382973"/>
      <w:r>
        <w:rPr>
          <w:rFonts w:hint="default" w:ascii="Times New Roman" w:hAnsi="Times New Roman" w:eastAsia="仿宋" w:cs="Times New Roman"/>
        </w:rPr>
        <w:t>江苏裕和检测技术有限公司根据监测方案对本项目开展了现场监测并出具了监测结果数据报告</w:t>
      </w:r>
      <w:r>
        <w:rPr>
          <w:rFonts w:hint="default" w:ascii="Times New Roman" w:hAnsi="Times New Roman" w:eastAsia="仿宋" w:cs="Times New Roman"/>
          <w:color w:val="000000" w:themeColor="text1"/>
          <w14:textFill>
            <w14:solidFill>
              <w14:schemeClr w14:val="tx1"/>
            </w14:solidFill>
          </w14:textFill>
        </w:rPr>
        <w:t>（报告编号：（202</w:t>
      </w:r>
      <w:r>
        <w:rPr>
          <w:rFonts w:hint="default" w:ascii="Times New Roman" w:hAnsi="Times New Roman" w:eastAsia="仿宋" w:cs="Times New Roman"/>
          <w:color w:val="000000" w:themeColor="text1"/>
          <w:lang w:val="en-US" w:eastAsia="zh-CN"/>
          <w14:textFill>
            <w14:solidFill>
              <w14:schemeClr w14:val="tx1"/>
            </w14:solidFill>
          </w14:textFill>
        </w:rPr>
        <w:t>5</w:t>
      </w:r>
      <w:r>
        <w:rPr>
          <w:rFonts w:hint="default" w:ascii="Times New Roman" w:hAnsi="Times New Roman" w:eastAsia="仿宋" w:cs="Times New Roman"/>
          <w:color w:val="000000" w:themeColor="text1"/>
          <w14:textFill>
            <w14:solidFill>
              <w14:schemeClr w14:val="tx1"/>
            </w14:solidFill>
          </w14:textFill>
        </w:rPr>
        <w:t>）裕和（综）字第（</w:t>
      </w:r>
      <w:r>
        <w:rPr>
          <w:rFonts w:hint="default" w:ascii="Times New Roman" w:hAnsi="Times New Roman" w:eastAsia="仿宋" w:cs="Times New Roman"/>
          <w:color w:val="000000" w:themeColor="text1"/>
          <w:lang w:val="en-US" w:eastAsia="zh-CN"/>
          <w14:textFill>
            <w14:solidFill>
              <w14:schemeClr w14:val="tx1"/>
            </w14:solidFill>
          </w14:textFill>
        </w:rPr>
        <w:t>920</w:t>
      </w:r>
      <w:r>
        <w:rPr>
          <w:rFonts w:hint="default" w:ascii="Times New Roman" w:hAnsi="Times New Roman" w:eastAsia="仿宋" w:cs="Times New Roman"/>
          <w:color w:val="000000" w:themeColor="text1"/>
          <w:highlight w:val="none"/>
          <w14:textFill>
            <w14:solidFill>
              <w14:schemeClr w14:val="tx1"/>
            </w14:solidFill>
          </w14:textFill>
        </w:rPr>
        <w:t>）号</w:t>
      </w:r>
      <w:r>
        <w:rPr>
          <w:rFonts w:hint="eastAsia" w:eastAsia="仿宋" w:cs="Times New Roman"/>
          <w:color w:val="000000" w:themeColor="text1"/>
          <w:highlight w:val="none"/>
          <w:lang w:val="en-US" w:eastAsia="zh-CN"/>
          <w14:textFill>
            <w14:solidFill>
              <w14:schemeClr w14:val="tx1"/>
            </w14:solidFill>
          </w14:textFill>
        </w:rPr>
        <w:t>和</w:t>
      </w:r>
      <w:r>
        <w:rPr>
          <w:rFonts w:hint="default" w:ascii="Times New Roman" w:hAnsi="Times New Roman" w:eastAsia="仿宋" w:cs="Times New Roman"/>
          <w:color w:val="000000" w:themeColor="text1"/>
          <w14:textFill>
            <w14:solidFill>
              <w14:schemeClr w14:val="tx1"/>
            </w14:solidFill>
          </w14:textFill>
        </w:rPr>
        <w:t>（202</w:t>
      </w:r>
      <w:r>
        <w:rPr>
          <w:rFonts w:hint="default" w:ascii="Times New Roman" w:hAnsi="Times New Roman" w:eastAsia="仿宋" w:cs="Times New Roman"/>
          <w:color w:val="000000" w:themeColor="text1"/>
          <w:lang w:val="en-US" w:eastAsia="zh-CN"/>
          <w14:textFill>
            <w14:solidFill>
              <w14:schemeClr w14:val="tx1"/>
            </w14:solidFill>
          </w14:textFill>
        </w:rPr>
        <w:t>5</w:t>
      </w:r>
      <w:r>
        <w:rPr>
          <w:rFonts w:hint="default" w:ascii="Times New Roman" w:hAnsi="Times New Roman" w:eastAsia="仿宋" w:cs="Times New Roman"/>
          <w:color w:val="000000" w:themeColor="text1"/>
          <w14:textFill>
            <w14:solidFill>
              <w14:schemeClr w14:val="tx1"/>
            </w14:solidFill>
          </w14:textFill>
        </w:rPr>
        <w:t>）裕和（</w:t>
      </w:r>
      <w:r>
        <w:rPr>
          <w:rFonts w:hint="eastAsia" w:eastAsia="仿宋" w:cs="Times New Roman"/>
          <w:color w:val="000000" w:themeColor="text1"/>
          <w:lang w:val="en-US" w:eastAsia="zh-CN"/>
          <w14:textFill>
            <w14:solidFill>
              <w14:schemeClr w14:val="tx1"/>
            </w14:solidFill>
          </w14:textFill>
        </w:rPr>
        <w:t>气</w:t>
      </w:r>
      <w:r>
        <w:rPr>
          <w:rFonts w:hint="default" w:ascii="Times New Roman" w:hAnsi="Times New Roman" w:eastAsia="仿宋" w:cs="Times New Roman"/>
          <w:color w:val="000000" w:themeColor="text1"/>
          <w14:textFill>
            <w14:solidFill>
              <w14:schemeClr w14:val="tx1"/>
            </w14:solidFill>
          </w14:textFill>
        </w:rPr>
        <w:t>）字第（</w:t>
      </w:r>
      <w:r>
        <w:rPr>
          <w:rFonts w:hint="eastAsia" w:eastAsia="仿宋" w:cs="Times New Roman"/>
          <w:color w:val="000000" w:themeColor="text1"/>
          <w:lang w:val="en-US" w:eastAsia="zh-CN"/>
          <w14:textFill>
            <w14:solidFill>
              <w14:schemeClr w14:val="tx1"/>
            </w14:solidFill>
          </w14:textFill>
        </w:rPr>
        <w:t>1332</w:t>
      </w:r>
      <w:r>
        <w:rPr>
          <w:rFonts w:hint="default" w:ascii="Times New Roman" w:hAnsi="Times New Roman" w:eastAsia="仿宋" w:cs="Times New Roman"/>
          <w:color w:val="000000" w:themeColor="text1"/>
          <w:highlight w:val="none"/>
          <w14:textFill>
            <w14:solidFill>
              <w14:schemeClr w14:val="tx1"/>
            </w14:solidFill>
          </w14:textFill>
        </w:rPr>
        <w:t>）号）。根据监测结果和现场勘查结果，</w:t>
      </w:r>
      <w:r>
        <w:rPr>
          <w:rFonts w:hint="default" w:ascii="Times New Roman" w:hAnsi="Times New Roman" w:eastAsia="仿宋" w:cs="Times New Roman"/>
          <w:highlight w:val="none"/>
        </w:rPr>
        <w:t>验收工作组</w:t>
      </w:r>
      <w:r>
        <w:rPr>
          <w:rFonts w:hint="default" w:ascii="Times New Roman" w:hAnsi="Times New Roman" w:eastAsia="仿宋" w:cs="Times New Roman"/>
          <w:color w:val="000000" w:themeColor="text1"/>
          <w:highlight w:val="none"/>
          <w14:textFill>
            <w14:solidFill>
              <w14:schemeClr w14:val="tx1"/>
            </w14:solidFill>
          </w14:textFill>
        </w:rPr>
        <w:t>于202</w:t>
      </w:r>
      <w:r>
        <w:rPr>
          <w:rFonts w:hint="eastAsia" w:eastAsia="仿宋" w:cs="Times New Roman"/>
          <w:color w:val="000000" w:themeColor="text1"/>
          <w:highlight w:val="none"/>
          <w:lang w:val="en-US" w:eastAsia="zh-CN"/>
          <w14:textFill>
            <w14:solidFill>
              <w14:schemeClr w14:val="tx1"/>
            </w14:solidFill>
          </w14:textFill>
        </w:rPr>
        <w:t>5</w:t>
      </w:r>
      <w:r>
        <w:rPr>
          <w:rFonts w:hint="default" w:ascii="Times New Roman" w:hAnsi="Times New Roman" w:eastAsia="仿宋" w:cs="Times New Roman"/>
          <w:color w:val="000000" w:themeColor="text1"/>
          <w:highlight w:val="none"/>
          <w14:textFill>
            <w14:solidFill>
              <w14:schemeClr w14:val="tx1"/>
            </w14:solidFill>
          </w14:textFill>
        </w:rPr>
        <w:t>年</w:t>
      </w:r>
      <w:r>
        <w:rPr>
          <w:rFonts w:hint="eastAsia" w:eastAsia="仿宋" w:cs="Times New Roman"/>
          <w:color w:val="000000" w:themeColor="text1"/>
          <w:highlight w:val="none"/>
          <w:lang w:val="en-US" w:eastAsia="zh-CN"/>
          <w14:textFill>
            <w14:solidFill>
              <w14:schemeClr w14:val="tx1"/>
            </w14:solidFill>
          </w14:textFill>
        </w:rPr>
        <w:t>12</w:t>
      </w:r>
      <w:r>
        <w:rPr>
          <w:rFonts w:hint="default" w:ascii="Times New Roman" w:hAnsi="Times New Roman" w:eastAsia="仿宋" w:cs="Times New Roman"/>
          <w:color w:val="000000" w:themeColor="text1"/>
          <w:highlight w:val="none"/>
          <w14:textFill>
            <w14:solidFill>
              <w14:schemeClr w14:val="tx1"/>
            </w14:solidFill>
          </w14:textFill>
        </w:rPr>
        <w:t>月编制</w:t>
      </w:r>
      <w:r>
        <w:rPr>
          <w:rFonts w:hint="default" w:ascii="Times New Roman" w:hAnsi="Times New Roman" w:eastAsia="仿宋" w:cs="Times New Roman"/>
          <w:color w:val="000000" w:themeColor="text1"/>
          <w14:textFill>
            <w14:solidFill>
              <w14:schemeClr w14:val="tx1"/>
            </w14:solidFill>
          </w14:textFill>
        </w:rPr>
        <w:t>完成本项目验收监测报告。</w:t>
      </w:r>
      <w:bookmarkEnd w:id="2"/>
      <w:bookmarkEnd w:id="4"/>
    </w:p>
    <w:p w14:paraId="68D38A44">
      <w:pPr>
        <w:keepNext w:val="0"/>
        <w:keepLines w:val="0"/>
        <w:pageBreakBefore w:val="0"/>
        <w:widowControl w:val="0"/>
        <w:kinsoku/>
        <w:wordWrap/>
        <w:overflowPunct/>
        <w:topLinePunct w:val="0"/>
        <w:autoSpaceDE w:val="0"/>
        <w:autoSpaceDN w:val="0"/>
        <w:bidi w:val="0"/>
        <w:adjustRightInd w:val="0"/>
        <w:snapToGrid/>
        <w:spacing w:line="480" w:lineRule="exact"/>
        <w:ind w:firstLine="560"/>
        <w:textAlignment w:val="auto"/>
        <w:rPr>
          <w:rFonts w:hint="default" w:ascii="Times New Roman" w:hAnsi="Times New Roman" w:eastAsia="仿宋" w:cs="Times New Roman"/>
          <w:bCs/>
        </w:rPr>
      </w:pPr>
      <w:r>
        <w:rPr>
          <w:rFonts w:hint="default" w:ascii="Times New Roman" w:hAnsi="Times New Roman" w:eastAsia="仿宋" w:cs="Times New Roman"/>
          <w:bCs/>
        </w:rPr>
        <w:t>公司现有项目环评及验收情况详见表1.1-1。</w:t>
      </w:r>
    </w:p>
    <w:p w14:paraId="0D598E4D">
      <w:pPr>
        <w:pStyle w:val="10"/>
        <w:ind w:firstLine="480"/>
        <w:rPr>
          <w:rFonts w:hint="default" w:ascii="Times New Roman" w:hAnsi="Times New Roman" w:cs="Times New Roman"/>
          <w:color w:val="000000"/>
        </w:rPr>
        <w:sectPr>
          <w:pgSz w:w="11906" w:h="16838"/>
          <w:pgMar w:top="1440" w:right="1800" w:bottom="1440" w:left="1800" w:header="851" w:footer="992" w:gutter="0"/>
          <w:pgNumType w:start="1"/>
          <w:cols w:space="425" w:num="1"/>
          <w:docGrid w:type="lines" w:linePitch="312" w:charSpace="0"/>
        </w:sectPr>
      </w:pPr>
    </w:p>
    <w:p w14:paraId="0CCD2EE4">
      <w:pPr>
        <w:spacing w:line="360" w:lineRule="auto"/>
        <w:ind w:firstLine="0" w:firstLineChars="0"/>
        <w:jc w:val="center"/>
        <w:rPr>
          <w:rFonts w:hint="default" w:ascii="Times New Roman" w:hAnsi="Times New Roman" w:cs="Times New Roman"/>
          <w:b/>
          <w:bCs/>
          <w:color w:val="000000"/>
        </w:rPr>
      </w:pPr>
      <w:r>
        <w:rPr>
          <w:rFonts w:hint="default" w:ascii="Times New Roman" w:hAnsi="Times New Roman" w:cs="Times New Roman"/>
          <w:b/>
          <w:bCs/>
          <w:color w:val="000000"/>
        </w:rPr>
        <w:t>表1.1-1   现有项目环评及验收情况汇总一览表</w:t>
      </w:r>
    </w:p>
    <w:tbl>
      <w:tblPr>
        <w:tblStyle w:val="25"/>
        <w:tblW w:w="510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602"/>
        <w:gridCol w:w="2674"/>
        <w:gridCol w:w="2959"/>
        <w:gridCol w:w="3584"/>
        <w:gridCol w:w="3013"/>
        <w:gridCol w:w="1425"/>
      </w:tblGrid>
      <w:tr w14:paraId="7FBFE0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blHeader/>
          <w:jc w:val="center"/>
        </w:trPr>
        <w:tc>
          <w:tcPr>
            <w:tcW w:w="211" w:type="pct"/>
            <w:shd w:val="clear" w:color="auto" w:fill="auto"/>
            <w:vAlign w:val="center"/>
          </w:tcPr>
          <w:p w14:paraId="612E0589">
            <w:pPr>
              <w:spacing w:line="360" w:lineRule="exact"/>
              <w:ind w:firstLine="0" w:firstLineChars="0"/>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序号</w:t>
            </w:r>
          </w:p>
        </w:tc>
        <w:tc>
          <w:tcPr>
            <w:tcW w:w="937" w:type="pct"/>
            <w:shd w:val="clear" w:color="auto" w:fill="auto"/>
            <w:vAlign w:val="center"/>
          </w:tcPr>
          <w:p w14:paraId="62C1455D">
            <w:pPr>
              <w:spacing w:line="360" w:lineRule="exact"/>
              <w:ind w:firstLine="0" w:firstLineChars="0"/>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项目名称</w:t>
            </w:r>
          </w:p>
        </w:tc>
        <w:tc>
          <w:tcPr>
            <w:tcW w:w="1037" w:type="pct"/>
            <w:shd w:val="clear" w:color="auto" w:fill="auto"/>
            <w:vAlign w:val="center"/>
          </w:tcPr>
          <w:p w14:paraId="28E4BBF7">
            <w:pPr>
              <w:spacing w:line="360" w:lineRule="exact"/>
              <w:ind w:firstLine="0" w:firstLineChars="0"/>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环评审批情况</w:t>
            </w:r>
          </w:p>
        </w:tc>
        <w:tc>
          <w:tcPr>
            <w:tcW w:w="1256" w:type="pct"/>
          </w:tcPr>
          <w:p w14:paraId="12D667D8">
            <w:pPr>
              <w:spacing w:line="360" w:lineRule="exact"/>
              <w:ind w:firstLine="0" w:firstLineChars="0"/>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建设情况</w:t>
            </w:r>
          </w:p>
        </w:tc>
        <w:tc>
          <w:tcPr>
            <w:tcW w:w="1056" w:type="pct"/>
            <w:vAlign w:val="center"/>
          </w:tcPr>
          <w:p w14:paraId="07BBF5B7">
            <w:pPr>
              <w:spacing w:line="360" w:lineRule="exact"/>
              <w:ind w:firstLine="0" w:firstLineChars="0"/>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验收情况</w:t>
            </w:r>
          </w:p>
        </w:tc>
        <w:tc>
          <w:tcPr>
            <w:tcW w:w="499" w:type="pct"/>
          </w:tcPr>
          <w:p w14:paraId="1741568D">
            <w:pPr>
              <w:spacing w:line="360" w:lineRule="exact"/>
              <w:ind w:firstLine="0" w:firstLineChars="0"/>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备注</w:t>
            </w:r>
          </w:p>
        </w:tc>
      </w:tr>
      <w:tr w14:paraId="25B69B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30" w:hRule="atLeast"/>
          <w:jc w:val="center"/>
        </w:trPr>
        <w:tc>
          <w:tcPr>
            <w:tcW w:w="211" w:type="pct"/>
            <w:vMerge w:val="restart"/>
            <w:shd w:val="clear" w:color="auto" w:fill="auto"/>
            <w:vAlign w:val="center"/>
          </w:tcPr>
          <w:p w14:paraId="60E72714">
            <w:pPr>
              <w:spacing w:line="360" w:lineRule="exact"/>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937" w:type="pct"/>
            <w:vMerge w:val="restart"/>
            <w:shd w:val="clear" w:color="auto" w:fill="auto"/>
            <w:vAlign w:val="center"/>
          </w:tcPr>
          <w:p w14:paraId="3FAEC282">
            <w:pPr>
              <w:spacing w:line="360" w:lineRule="exact"/>
              <w:ind w:firstLine="0" w:firstLineChars="0"/>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年产20000 吨超高分子量</w:t>
            </w:r>
          </w:p>
          <w:p w14:paraId="5C4E6DFA">
            <w:pPr>
              <w:spacing w:line="360" w:lineRule="exact"/>
              <w:ind w:firstLine="0" w:firstLineChars="0"/>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聚乙烯纤维项目</w:t>
            </w:r>
          </w:p>
        </w:tc>
        <w:tc>
          <w:tcPr>
            <w:tcW w:w="1037" w:type="pct"/>
            <w:vMerge w:val="restart"/>
            <w:shd w:val="clear" w:color="auto" w:fill="auto"/>
            <w:vAlign w:val="center"/>
          </w:tcPr>
          <w:p w14:paraId="530ACF58">
            <w:pPr>
              <w:spacing w:line="360" w:lineRule="exact"/>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江苏如东洋口港经济开发区管理委员会(港管环</w:t>
            </w:r>
            <w:r>
              <w:rPr>
                <w:rFonts w:hint="default" w:ascii="Times New Roman" w:hAnsi="Times New Roman" w:eastAsia="仿宋" w:cs="Times New Roman"/>
                <w:bCs/>
                <w:lang w:eastAsia="zh-CN"/>
              </w:rPr>
              <w:t>[</w:t>
            </w:r>
            <w:r>
              <w:rPr>
                <w:rFonts w:hint="default" w:ascii="Times New Roman" w:hAnsi="Times New Roman" w:eastAsia="仿宋" w:cs="Times New Roman"/>
                <w:sz w:val="21"/>
                <w:szCs w:val="21"/>
              </w:rPr>
              <w:t>2023]4号</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2023年3月21日)</w:t>
            </w:r>
          </w:p>
        </w:tc>
        <w:tc>
          <w:tcPr>
            <w:tcW w:w="1256" w:type="pct"/>
            <w:vAlign w:val="center"/>
          </w:tcPr>
          <w:p w14:paraId="2A90CCB3">
            <w:pPr>
              <w:spacing w:line="360" w:lineRule="exact"/>
              <w:ind w:firstLine="0" w:firstLineChars="0"/>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一阶段</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车间二3040吨/年超高分子量聚乙烯纤维、车间三2784吨/年超高分子量聚乙烯纤维</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车间四 2784吨/年超高分子量聚乙烯纤维</w:t>
            </w:r>
          </w:p>
        </w:tc>
        <w:tc>
          <w:tcPr>
            <w:tcW w:w="1056" w:type="pct"/>
            <w:vAlign w:val="center"/>
          </w:tcPr>
          <w:p w14:paraId="6ABCDE7D">
            <w:pPr>
              <w:spacing w:line="360" w:lineRule="exact"/>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2025年3月</w:t>
            </w:r>
            <w:r>
              <w:rPr>
                <w:rFonts w:hint="default" w:ascii="Times New Roman" w:hAnsi="Times New Roman" w:eastAsia="仿宋" w:cs="Times New Roman"/>
                <w:sz w:val="21"/>
                <w:szCs w:val="21"/>
              </w:rPr>
              <w:t>完成竣工环境保护</w:t>
            </w:r>
          </w:p>
          <w:p w14:paraId="230AC21C">
            <w:pPr>
              <w:spacing w:line="360" w:lineRule="exact"/>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自主</w:t>
            </w:r>
            <w:r>
              <w:rPr>
                <w:rFonts w:hint="default" w:ascii="Times New Roman" w:hAnsi="Times New Roman" w:eastAsia="仿宋" w:cs="Times New Roman"/>
                <w:sz w:val="21"/>
                <w:szCs w:val="21"/>
              </w:rPr>
              <w:t>验收</w:t>
            </w:r>
          </w:p>
        </w:tc>
        <w:tc>
          <w:tcPr>
            <w:tcW w:w="499" w:type="pct"/>
            <w:vAlign w:val="center"/>
          </w:tcPr>
          <w:p w14:paraId="03137C1B">
            <w:pPr>
              <w:bidi w:val="0"/>
              <w:rPr>
                <w:rFonts w:hint="default" w:ascii="Times New Roman" w:hAnsi="Times New Roman" w:eastAsia="仿宋" w:cs="Times New Roman"/>
                <w:b/>
                <w:bCs/>
                <w:kern w:val="44"/>
                <w:szCs w:val="21"/>
                <w:lang w:val="en-US" w:eastAsia="zh-CN"/>
              </w:rPr>
            </w:pPr>
            <w:r>
              <w:rPr>
                <w:rFonts w:hint="default" w:ascii="Times New Roman" w:hAnsi="Times New Roman" w:cs="Times New Roman"/>
                <w:lang w:val="en-US" w:eastAsia="zh-CN"/>
              </w:rPr>
              <w:t>/</w:t>
            </w:r>
          </w:p>
        </w:tc>
      </w:tr>
      <w:tr w14:paraId="69D728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60" w:hRule="atLeast"/>
          <w:jc w:val="center"/>
        </w:trPr>
        <w:tc>
          <w:tcPr>
            <w:tcW w:w="211" w:type="pct"/>
            <w:vMerge w:val="continue"/>
            <w:shd w:val="clear" w:color="auto" w:fill="auto"/>
            <w:vAlign w:val="center"/>
          </w:tcPr>
          <w:p w14:paraId="7C0E8338">
            <w:pPr>
              <w:spacing w:line="360" w:lineRule="exact"/>
              <w:ind w:firstLine="0" w:firstLineChars="0"/>
              <w:rPr>
                <w:rFonts w:hint="default" w:ascii="Times New Roman" w:hAnsi="Times New Roman" w:eastAsia="仿宋" w:cs="Times New Roman"/>
                <w:sz w:val="21"/>
                <w:szCs w:val="21"/>
              </w:rPr>
            </w:pPr>
          </w:p>
        </w:tc>
        <w:tc>
          <w:tcPr>
            <w:tcW w:w="937" w:type="pct"/>
            <w:vMerge w:val="continue"/>
            <w:shd w:val="clear" w:color="auto" w:fill="auto"/>
            <w:vAlign w:val="center"/>
          </w:tcPr>
          <w:p w14:paraId="4BAF4DD3">
            <w:pPr>
              <w:spacing w:line="360" w:lineRule="exact"/>
              <w:ind w:firstLine="0" w:firstLineChars="0"/>
              <w:jc w:val="center"/>
              <w:rPr>
                <w:rFonts w:hint="default" w:ascii="Times New Roman" w:hAnsi="Times New Roman" w:eastAsia="仿宋" w:cs="Times New Roman"/>
                <w:sz w:val="21"/>
                <w:szCs w:val="21"/>
              </w:rPr>
            </w:pPr>
          </w:p>
        </w:tc>
        <w:tc>
          <w:tcPr>
            <w:tcW w:w="1037" w:type="pct"/>
            <w:vMerge w:val="continue"/>
            <w:shd w:val="clear" w:color="auto" w:fill="auto"/>
            <w:vAlign w:val="center"/>
          </w:tcPr>
          <w:p w14:paraId="3937AB0C">
            <w:pPr>
              <w:spacing w:line="360" w:lineRule="exact"/>
              <w:ind w:firstLine="0" w:firstLineChars="0"/>
              <w:jc w:val="center"/>
              <w:rPr>
                <w:rFonts w:hint="default" w:ascii="Times New Roman" w:hAnsi="Times New Roman" w:eastAsia="仿宋" w:cs="Times New Roman"/>
                <w:sz w:val="21"/>
                <w:szCs w:val="21"/>
              </w:rPr>
            </w:pPr>
          </w:p>
        </w:tc>
        <w:tc>
          <w:tcPr>
            <w:tcW w:w="1256" w:type="pct"/>
            <w:vAlign w:val="center"/>
          </w:tcPr>
          <w:p w14:paraId="293ED611">
            <w:pPr>
              <w:spacing w:line="360" w:lineRule="exact"/>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二阶段：车间五2784吨/年超高分子量聚乙烯纤维项目</w:t>
            </w:r>
          </w:p>
        </w:tc>
        <w:tc>
          <w:tcPr>
            <w:tcW w:w="1056" w:type="pct"/>
            <w:vAlign w:val="center"/>
          </w:tcPr>
          <w:p w14:paraId="4446E6AD">
            <w:pPr>
              <w:spacing w:line="360" w:lineRule="exact"/>
              <w:ind w:firstLine="42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99" w:type="pct"/>
            <w:vAlign w:val="center"/>
          </w:tcPr>
          <w:p w14:paraId="6C339E6B">
            <w:pPr>
              <w:spacing w:line="360" w:lineRule="exact"/>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color w:val="000000"/>
                <w:sz w:val="21"/>
                <w:szCs w:val="21"/>
              </w:rPr>
              <w:t>此次拟验收</w:t>
            </w:r>
          </w:p>
        </w:tc>
      </w:tr>
    </w:tbl>
    <w:p w14:paraId="71A1D623">
      <w:pPr>
        <w:spacing w:afterLines="50" w:line="600" w:lineRule="exact"/>
        <w:ind w:firstLine="0" w:firstLineChars="0"/>
        <w:jc w:val="center"/>
        <w:rPr>
          <w:rFonts w:hint="default" w:ascii="Times New Roman" w:hAnsi="Times New Roman" w:cs="Times New Roman"/>
          <w:b/>
          <w:bCs/>
          <w:color w:val="000000"/>
        </w:rPr>
        <w:sectPr>
          <w:pgSz w:w="16838" w:h="11906" w:orient="landscape"/>
          <w:pgMar w:top="1800" w:right="1440" w:bottom="1800" w:left="1440" w:header="851" w:footer="992" w:gutter="0"/>
          <w:cols w:space="425" w:num="1"/>
          <w:docGrid w:type="lines" w:linePitch="381" w:charSpace="0"/>
        </w:sectPr>
      </w:pPr>
    </w:p>
    <w:p w14:paraId="44635342">
      <w:pPr>
        <w:pStyle w:val="2"/>
        <w:spacing w:beforeLines="50" w:afterLines="50"/>
        <w:rPr>
          <w:rFonts w:hint="default" w:ascii="Times New Roman" w:hAnsi="Times New Roman" w:cs="Times New Roman"/>
          <w:color w:val="000000"/>
        </w:rPr>
      </w:pPr>
      <w:bookmarkStart w:id="5" w:name="_Toc9765"/>
      <w:bookmarkStart w:id="6" w:name="_Toc520410232"/>
      <w:bookmarkStart w:id="7" w:name="_Toc5204520"/>
      <w:r>
        <w:rPr>
          <w:rFonts w:hint="default" w:ascii="Times New Roman" w:hAnsi="Times New Roman" w:cs="Times New Roman"/>
          <w:color w:val="000000"/>
        </w:rPr>
        <w:t>2验收依据</w:t>
      </w:r>
      <w:bookmarkEnd w:id="5"/>
      <w:bookmarkEnd w:id="6"/>
      <w:bookmarkEnd w:id="7"/>
    </w:p>
    <w:p w14:paraId="2B347836">
      <w:pPr>
        <w:pStyle w:val="3"/>
        <w:spacing w:before="0" w:after="0" w:line="360" w:lineRule="auto"/>
        <w:ind w:firstLine="0" w:firstLineChars="0"/>
        <w:rPr>
          <w:rFonts w:hint="default" w:ascii="Times New Roman" w:hAnsi="Times New Roman" w:cs="Times New Roman"/>
          <w:color w:val="000000"/>
        </w:rPr>
      </w:pPr>
      <w:bookmarkStart w:id="8" w:name="_Toc5204521"/>
      <w:bookmarkStart w:id="9" w:name="_Toc32651"/>
      <w:bookmarkStart w:id="10" w:name="_Toc520410233"/>
      <w:r>
        <w:rPr>
          <w:rFonts w:hint="default" w:ascii="Times New Roman" w:hAnsi="Times New Roman" w:cs="Times New Roman"/>
          <w:color w:val="000000"/>
        </w:rPr>
        <w:t>2.1 国家有关法律、法规、规章和规范</w:t>
      </w:r>
      <w:bookmarkEnd w:id="8"/>
      <w:bookmarkEnd w:id="9"/>
      <w:bookmarkEnd w:id="10"/>
    </w:p>
    <w:p w14:paraId="64F98641">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（1）《中华人民共和国环境保护法》，2014年4月24日修订；</w:t>
      </w:r>
    </w:p>
    <w:p w14:paraId="22F3CE33">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（2）《中华人民共和国大气污染防治法》，2015年8月29日修订；</w:t>
      </w:r>
    </w:p>
    <w:p w14:paraId="7293336F">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（3）《中华人民共和国水污染防治法》，2017年6月27日修订；</w:t>
      </w:r>
    </w:p>
    <w:p w14:paraId="25667746">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（4）《中华人民共和国噪声污染防治法》，2021年12月24日修订；</w:t>
      </w:r>
    </w:p>
    <w:p w14:paraId="7A9D794B">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（5）《中华人民共和国固体废物污染环境防治法》，2020年4月29日修订；</w:t>
      </w:r>
    </w:p>
    <w:p w14:paraId="7BC69935">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（6）《建设项目环境保护管理条例》（国务院令[2017]第682号），2017年7月16日修订；</w:t>
      </w:r>
    </w:p>
    <w:p w14:paraId="72B32324">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（7）《建设项目竣工环境保护验收暂行办法》（国环规环评[2017]4号），2017年11月20日；</w:t>
      </w:r>
    </w:p>
    <w:p w14:paraId="751036CE">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（8）《建设项目竣工环境保护验收技术指南 污染影响类》（生态环境部公告2018年第9号），2018年5月16日；</w:t>
      </w:r>
    </w:p>
    <w:p w14:paraId="53928DE5">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（9）《国家危险废物名录》（202</w:t>
      </w:r>
      <w:r>
        <w:rPr>
          <w:rFonts w:hint="default" w:ascii="Times New Roman" w:hAnsi="Times New Roman" w:eastAsia="仿宋" w:cs="Times New Roman"/>
          <w:color w:val="000000"/>
          <w:lang w:val="en-US" w:eastAsia="zh-CN"/>
        </w:rPr>
        <w:t>5</w:t>
      </w:r>
      <w:r>
        <w:rPr>
          <w:rFonts w:hint="default" w:ascii="Times New Roman" w:hAnsi="Times New Roman" w:eastAsia="仿宋" w:cs="Times New Roman"/>
          <w:color w:val="000000"/>
        </w:rPr>
        <w:t>年版）；</w:t>
      </w:r>
    </w:p>
    <w:p w14:paraId="10FFD12A">
      <w:pPr>
        <w:spacing w:line="480" w:lineRule="exact"/>
        <w:ind w:firstLine="560"/>
        <w:rPr>
          <w:rFonts w:hint="default" w:ascii="Times New Roman" w:hAnsi="Times New Roman" w:eastAsia="仿宋" w:cs="Times New Roman"/>
          <w:color w:val="000000"/>
        </w:rPr>
      </w:pPr>
      <w:bookmarkStart w:id="11" w:name="_Toc520410234"/>
      <w:r>
        <w:rPr>
          <w:rFonts w:hint="default" w:ascii="Times New Roman" w:hAnsi="Times New Roman" w:eastAsia="仿宋" w:cs="Times New Roman"/>
          <w:color w:val="000000"/>
        </w:rPr>
        <w:t>（1</w:t>
      </w:r>
      <w:r>
        <w:rPr>
          <w:rFonts w:hint="eastAsia" w:eastAsia="仿宋" w:cs="Times New Roman"/>
          <w:color w:val="000000"/>
          <w:lang w:val="en-US" w:eastAsia="zh-CN"/>
        </w:rPr>
        <w:t>0</w:t>
      </w:r>
      <w:r>
        <w:rPr>
          <w:rFonts w:hint="default" w:ascii="Times New Roman" w:hAnsi="Times New Roman" w:eastAsia="仿宋" w:cs="Times New Roman"/>
          <w:color w:val="000000"/>
        </w:rPr>
        <w:t>）《</w:t>
      </w:r>
      <w:r>
        <w:rPr>
          <w:rFonts w:hint="default" w:ascii="Times New Roman" w:hAnsi="Times New Roman" w:eastAsia="仿宋" w:cs="Times New Roman"/>
          <w:color w:val="000000"/>
          <w:lang w:val="en-US" w:eastAsia="zh-CN"/>
        </w:rPr>
        <w:t>生态环境监测条例</w:t>
      </w:r>
      <w:r>
        <w:rPr>
          <w:rFonts w:hint="default" w:ascii="Times New Roman" w:hAnsi="Times New Roman" w:eastAsia="仿宋" w:cs="Times New Roman"/>
          <w:color w:val="000000"/>
        </w:rPr>
        <w:t>》（国务院令[20</w:t>
      </w:r>
      <w:r>
        <w:rPr>
          <w:rFonts w:hint="default" w:ascii="Times New Roman" w:hAnsi="Times New Roman" w:eastAsia="仿宋" w:cs="Times New Roman"/>
          <w:color w:val="000000"/>
          <w:lang w:val="en-US" w:eastAsia="zh-CN"/>
        </w:rPr>
        <w:t>25</w:t>
      </w:r>
      <w:r>
        <w:rPr>
          <w:rFonts w:hint="default" w:ascii="Times New Roman" w:hAnsi="Times New Roman" w:eastAsia="仿宋" w:cs="Times New Roman"/>
          <w:color w:val="000000"/>
        </w:rPr>
        <w:t>]第</w:t>
      </w:r>
      <w:r>
        <w:rPr>
          <w:rFonts w:hint="default" w:ascii="Times New Roman" w:hAnsi="Times New Roman" w:eastAsia="仿宋" w:cs="Times New Roman"/>
          <w:color w:val="000000"/>
          <w:lang w:val="en-US" w:eastAsia="zh-CN"/>
        </w:rPr>
        <w:t>820</w:t>
      </w:r>
      <w:r>
        <w:rPr>
          <w:rFonts w:hint="default" w:ascii="Times New Roman" w:hAnsi="Times New Roman" w:eastAsia="仿宋" w:cs="Times New Roman"/>
          <w:color w:val="000000"/>
        </w:rPr>
        <w:t>号），20</w:t>
      </w:r>
      <w:r>
        <w:rPr>
          <w:rFonts w:hint="default" w:ascii="Times New Roman" w:hAnsi="Times New Roman" w:eastAsia="仿宋" w:cs="Times New Roman"/>
          <w:color w:val="000000"/>
          <w:lang w:val="en-US" w:eastAsia="zh-CN"/>
        </w:rPr>
        <w:t>25</w:t>
      </w:r>
      <w:r>
        <w:rPr>
          <w:rFonts w:hint="default" w:ascii="Times New Roman" w:hAnsi="Times New Roman" w:eastAsia="仿宋" w:cs="Times New Roman"/>
          <w:color w:val="000000"/>
        </w:rPr>
        <w:t>年</w:t>
      </w:r>
      <w:r>
        <w:rPr>
          <w:rFonts w:hint="default" w:ascii="Times New Roman" w:hAnsi="Times New Roman" w:eastAsia="仿宋" w:cs="Times New Roman"/>
          <w:color w:val="000000"/>
          <w:lang w:val="en-US" w:eastAsia="zh-CN"/>
        </w:rPr>
        <w:t>10</w:t>
      </w:r>
      <w:r>
        <w:rPr>
          <w:rFonts w:hint="default" w:ascii="Times New Roman" w:hAnsi="Times New Roman" w:eastAsia="仿宋" w:cs="Times New Roman"/>
          <w:color w:val="000000"/>
        </w:rPr>
        <w:t>月</w:t>
      </w:r>
      <w:r>
        <w:rPr>
          <w:rFonts w:hint="default" w:ascii="Times New Roman" w:hAnsi="Times New Roman" w:eastAsia="仿宋" w:cs="Times New Roman"/>
          <w:color w:val="000000"/>
          <w:lang w:val="en-US" w:eastAsia="zh-CN"/>
        </w:rPr>
        <w:t>31</w:t>
      </w:r>
      <w:r>
        <w:rPr>
          <w:rFonts w:hint="default" w:ascii="Times New Roman" w:hAnsi="Times New Roman" w:eastAsia="仿宋" w:cs="Times New Roman"/>
          <w:color w:val="000000"/>
        </w:rPr>
        <w:t>日修订；</w:t>
      </w:r>
    </w:p>
    <w:p w14:paraId="4D42005F">
      <w:pPr>
        <w:pStyle w:val="10"/>
        <w:ind w:firstLine="560"/>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（1</w:t>
      </w:r>
      <w:r>
        <w:rPr>
          <w:rFonts w:hint="eastAsia" w:ascii="Times New Roman" w:hAnsi="Times New Roman" w:eastAsia="仿宋" w:cs="Times New Roman"/>
          <w:color w:val="000000"/>
          <w:sz w:val="28"/>
          <w:szCs w:val="28"/>
          <w:lang w:val="en-US" w:eastAsia="zh-CN"/>
        </w:rPr>
        <w:t>1</w:t>
      </w:r>
      <w:r>
        <w:rPr>
          <w:rFonts w:hint="default" w:ascii="Times New Roman" w:hAnsi="Times New Roman" w:eastAsia="仿宋" w:cs="Times New Roman"/>
          <w:color w:val="000000"/>
          <w:sz w:val="28"/>
          <w:szCs w:val="28"/>
        </w:rPr>
        <w:t>）《污染影响类建设项目重大变动清单（试行）》的通知（环办环评函[2020]688号文）。</w:t>
      </w:r>
    </w:p>
    <w:p w14:paraId="62D0F835">
      <w:pPr>
        <w:pStyle w:val="3"/>
        <w:spacing w:before="0" w:after="0" w:line="360" w:lineRule="auto"/>
        <w:ind w:firstLine="0" w:firstLineChars="0"/>
        <w:rPr>
          <w:rFonts w:hint="default" w:ascii="Times New Roman" w:hAnsi="Times New Roman" w:cs="Times New Roman"/>
          <w:color w:val="000000"/>
        </w:rPr>
      </w:pPr>
      <w:bookmarkStart w:id="12" w:name="_Toc2135"/>
      <w:bookmarkStart w:id="13" w:name="_Toc5204522"/>
      <w:r>
        <w:rPr>
          <w:rFonts w:hint="default" w:ascii="Times New Roman" w:hAnsi="Times New Roman" w:cs="Times New Roman"/>
          <w:color w:val="000000"/>
        </w:rPr>
        <w:t>2.2 江苏省及南通市有关法规、规章</w:t>
      </w:r>
      <w:bookmarkEnd w:id="11"/>
      <w:bookmarkEnd w:id="12"/>
      <w:bookmarkEnd w:id="13"/>
    </w:p>
    <w:p w14:paraId="326F3361">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（1）《江苏省大气污染防治条例》，江苏省第十三届人民代表大会常务委员会第二次会议修订，2018年3月28日；</w:t>
      </w:r>
    </w:p>
    <w:p w14:paraId="2D3790DD">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（2）《江苏省环境噪声污染防治条例》，江苏省第十三届人民代表大会常务委员会第二次会议修订，2018年3月28日；</w:t>
      </w:r>
    </w:p>
    <w:p w14:paraId="2E15D823">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（3）《江苏省固体废物污染环境防治条例》，江苏省第十三届人民代表大会常务委员会第二次会议修订，2018年3月28日；</w:t>
      </w:r>
    </w:p>
    <w:p w14:paraId="5A5F5C5D">
      <w:pPr>
        <w:pStyle w:val="10"/>
        <w:rPr>
          <w:rFonts w:hint="default" w:ascii="Times New Roman" w:hAnsi="Times New Roman" w:eastAsia="仿宋" w:cs="Times New Roman"/>
          <w:color w:val="000000"/>
          <w:sz w:val="28"/>
          <w:szCs w:val="28"/>
          <w:lang w:val="en-US" w:eastAsia="zh-CN" w:bidi="ar-SA"/>
        </w:rPr>
      </w:pPr>
      <w:r>
        <w:rPr>
          <w:rFonts w:hint="default" w:ascii="Times New Roman" w:hAnsi="Times New Roman" w:eastAsia="仿宋" w:cs="Times New Roman"/>
          <w:color w:val="000000"/>
          <w:sz w:val="28"/>
          <w:szCs w:val="28"/>
          <w:lang w:val="en-US" w:eastAsia="zh-CN" w:bidi="ar-SA"/>
        </w:rPr>
        <w:t>（4）《江苏省水污染防治条例》（2021年5月1日施行）；</w:t>
      </w:r>
    </w:p>
    <w:p w14:paraId="44418C46">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w:t>
      </w:r>
      <w:r>
        <w:rPr>
          <w:rFonts w:hint="default" w:ascii="Times New Roman" w:hAnsi="Times New Roman" w:eastAsia="仿宋" w:cs="Times New Roman"/>
          <w:color w:val="000000"/>
          <w:lang w:val="en-US" w:eastAsia="zh-CN"/>
        </w:rPr>
        <w:t>5</w:t>
      </w:r>
      <w:r>
        <w:rPr>
          <w:rFonts w:hint="default" w:ascii="Times New Roman" w:hAnsi="Times New Roman" w:eastAsia="仿宋" w:cs="Times New Roman"/>
          <w:color w:val="000000"/>
        </w:rPr>
        <w:t>）《江苏省排污口设置及规范化整治管理办法》（江苏省环境环保局，苏环控[97]122号），1997年9月21日；</w:t>
      </w:r>
    </w:p>
    <w:p w14:paraId="0DEB7BCE">
      <w:pPr>
        <w:spacing w:line="480" w:lineRule="exact"/>
        <w:ind w:firstLine="560"/>
        <w:rPr>
          <w:rFonts w:hint="default" w:ascii="Times New Roman" w:hAnsi="Times New Roman" w:eastAsia="仿宋" w:cs="Times New Roman"/>
          <w:color w:val="000000"/>
          <w:lang w:eastAsia="zh-CN"/>
        </w:rPr>
      </w:pPr>
      <w:r>
        <w:rPr>
          <w:rFonts w:hint="default" w:ascii="Times New Roman" w:hAnsi="Times New Roman" w:eastAsia="仿宋" w:cs="Times New Roman"/>
          <w:color w:val="000000"/>
        </w:rPr>
        <w:t>（</w:t>
      </w:r>
      <w:r>
        <w:rPr>
          <w:rFonts w:hint="default" w:ascii="Times New Roman" w:hAnsi="Times New Roman" w:eastAsia="仿宋" w:cs="Times New Roman"/>
          <w:color w:val="000000"/>
          <w:lang w:val="en-US" w:eastAsia="zh-CN"/>
        </w:rPr>
        <w:t>6</w:t>
      </w:r>
      <w:r>
        <w:rPr>
          <w:rFonts w:hint="default" w:ascii="Times New Roman" w:hAnsi="Times New Roman" w:eastAsia="仿宋" w:cs="Times New Roman"/>
          <w:color w:val="000000"/>
        </w:rPr>
        <w:t>）《省生态环境厅关于加强涉变动项目环评与排污许可管理衔接的通知》（苏环办[2021]122 号）</w:t>
      </w:r>
      <w:r>
        <w:rPr>
          <w:rFonts w:hint="default" w:ascii="Times New Roman" w:hAnsi="Times New Roman" w:eastAsia="仿宋" w:cs="Times New Roman"/>
          <w:color w:val="000000"/>
          <w:lang w:eastAsia="zh-CN"/>
        </w:rPr>
        <w:t>；</w:t>
      </w:r>
    </w:p>
    <w:p w14:paraId="015E6844">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w:t>
      </w:r>
      <w:r>
        <w:rPr>
          <w:rFonts w:hint="default" w:ascii="Times New Roman" w:hAnsi="Times New Roman" w:eastAsia="仿宋" w:cs="Times New Roman"/>
          <w:color w:val="000000"/>
          <w:lang w:val="en-US" w:eastAsia="zh-CN"/>
        </w:rPr>
        <w:t>7</w:t>
      </w:r>
      <w:r>
        <w:rPr>
          <w:rFonts w:hint="default" w:ascii="Times New Roman" w:hAnsi="Times New Roman" w:eastAsia="仿宋" w:cs="Times New Roman"/>
          <w:color w:val="000000"/>
        </w:rPr>
        <w:t xml:space="preserve">）《关于建设项目竣工环境保护验收有关事项的通知》（苏环办[2018]34号）； </w:t>
      </w:r>
    </w:p>
    <w:p w14:paraId="197CD90C">
      <w:pPr>
        <w:spacing w:line="480" w:lineRule="exact"/>
        <w:ind w:firstLine="560"/>
        <w:rPr>
          <w:rFonts w:hint="default" w:ascii="Times New Roman" w:hAnsi="Times New Roman" w:eastAsia="仿宋" w:cs="Times New Roman"/>
          <w:color w:val="000000"/>
          <w:highlight w:val="none"/>
        </w:rPr>
      </w:pPr>
      <w:r>
        <w:rPr>
          <w:rFonts w:hint="default" w:ascii="Times New Roman" w:hAnsi="Times New Roman" w:eastAsia="仿宋" w:cs="Times New Roman"/>
          <w:color w:val="000000"/>
        </w:rPr>
        <w:t>（</w:t>
      </w:r>
      <w:r>
        <w:rPr>
          <w:rFonts w:hint="default" w:ascii="Times New Roman" w:hAnsi="Times New Roman" w:eastAsia="仿宋" w:cs="Times New Roman"/>
          <w:color w:val="000000"/>
          <w:lang w:val="en-US" w:eastAsia="zh-CN"/>
        </w:rPr>
        <w:t>8</w:t>
      </w:r>
      <w:r>
        <w:rPr>
          <w:rFonts w:hint="default" w:ascii="Times New Roman" w:hAnsi="Times New Roman" w:eastAsia="仿宋" w:cs="Times New Roman"/>
          <w:color w:val="000000"/>
        </w:rPr>
        <w:t>）《江苏省固体废物全过程环境监管工作意见》（</w:t>
      </w:r>
      <w:r>
        <w:rPr>
          <w:rFonts w:hint="default" w:ascii="Times New Roman" w:hAnsi="Times New Roman" w:eastAsia="仿宋" w:cs="Times New Roman"/>
          <w:color w:val="000000"/>
          <w:highlight w:val="none"/>
        </w:rPr>
        <w:t>苏环办[20</w:t>
      </w:r>
      <w:r>
        <w:rPr>
          <w:rFonts w:hint="eastAsia" w:eastAsia="仿宋" w:cs="Times New Roman"/>
          <w:color w:val="000000"/>
          <w:highlight w:val="none"/>
          <w:lang w:val="en-US" w:eastAsia="zh-CN"/>
        </w:rPr>
        <w:t>24</w:t>
      </w:r>
      <w:r>
        <w:rPr>
          <w:rFonts w:hint="default" w:ascii="Times New Roman" w:hAnsi="Times New Roman" w:eastAsia="仿宋" w:cs="Times New Roman"/>
          <w:color w:val="000000"/>
          <w:highlight w:val="none"/>
        </w:rPr>
        <w:t>]</w:t>
      </w:r>
      <w:r>
        <w:rPr>
          <w:rFonts w:hint="eastAsia" w:eastAsia="仿宋" w:cs="Times New Roman"/>
          <w:color w:val="000000"/>
          <w:highlight w:val="none"/>
          <w:lang w:val="en-US" w:eastAsia="zh-CN"/>
        </w:rPr>
        <w:t>16号</w:t>
      </w:r>
      <w:r>
        <w:rPr>
          <w:rFonts w:hint="default" w:ascii="Times New Roman" w:hAnsi="Times New Roman" w:eastAsia="仿宋" w:cs="Times New Roman"/>
          <w:color w:val="000000"/>
        </w:rPr>
        <w:t>）</w:t>
      </w:r>
      <w:r>
        <w:rPr>
          <w:rFonts w:hint="default" w:ascii="Times New Roman" w:hAnsi="Times New Roman" w:eastAsia="仿宋" w:cs="Times New Roman"/>
          <w:color w:val="000000"/>
          <w:highlight w:val="none"/>
        </w:rPr>
        <w:t xml:space="preserve">； </w:t>
      </w:r>
    </w:p>
    <w:p w14:paraId="3DA0B798">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w:t>
      </w:r>
      <w:r>
        <w:rPr>
          <w:rFonts w:hint="default" w:ascii="Times New Roman" w:hAnsi="Times New Roman" w:eastAsia="仿宋" w:cs="Times New Roman"/>
          <w:color w:val="000000"/>
          <w:lang w:val="en-US" w:eastAsia="zh-CN"/>
        </w:rPr>
        <w:t>9</w:t>
      </w:r>
      <w:r>
        <w:rPr>
          <w:rFonts w:hint="default" w:ascii="Times New Roman" w:hAnsi="Times New Roman" w:eastAsia="仿宋" w:cs="Times New Roman"/>
          <w:color w:val="000000"/>
        </w:rPr>
        <w:t xml:space="preserve">）《排污单位污染物排放口二维码标识技术规范》（HJ 1297-2023）； </w:t>
      </w:r>
    </w:p>
    <w:p w14:paraId="6EDEF2A5">
      <w:pPr>
        <w:spacing w:line="480" w:lineRule="exact"/>
        <w:ind w:firstLine="560"/>
        <w:rPr>
          <w:rFonts w:hint="default" w:ascii="Times New Roman" w:hAnsi="Times New Roman" w:eastAsia="仿宋_GB2312" w:cs="Times New Roman"/>
          <w:color w:val="000000"/>
        </w:rPr>
      </w:pPr>
      <w:r>
        <w:rPr>
          <w:rFonts w:hint="default" w:ascii="Times New Roman" w:hAnsi="Times New Roman" w:eastAsia="仿宋" w:cs="Times New Roman"/>
          <w:color w:val="000000"/>
        </w:rPr>
        <w:t>（</w:t>
      </w:r>
      <w:r>
        <w:rPr>
          <w:rFonts w:hint="default" w:ascii="Times New Roman" w:hAnsi="Times New Roman" w:eastAsia="仿宋" w:cs="Times New Roman"/>
          <w:color w:val="000000"/>
          <w:lang w:val="en-US" w:eastAsia="zh-CN"/>
        </w:rPr>
        <w:t>10</w:t>
      </w:r>
      <w:r>
        <w:rPr>
          <w:rFonts w:hint="default" w:ascii="Times New Roman" w:hAnsi="Times New Roman" w:eastAsia="仿宋" w:cs="Times New Roman"/>
          <w:color w:val="000000"/>
        </w:rPr>
        <w:t>）《省生态环境厅关于做好&lt;危险废物贮存污染控制标准&gt;等标准规范 实施后危险废物环境管理衔接工作的通知》（苏环办[2023]154 号）</w:t>
      </w:r>
      <w:r>
        <w:rPr>
          <w:rFonts w:hint="default" w:ascii="Times New Roman" w:hAnsi="Times New Roman" w:eastAsia="仿宋" w:cs="Times New Roman"/>
          <w:color w:val="000000"/>
          <w:lang w:eastAsia="zh-CN"/>
        </w:rPr>
        <w:t>。</w:t>
      </w:r>
    </w:p>
    <w:p w14:paraId="60974D56">
      <w:pPr>
        <w:pStyle w:val="3"/>
        <w:spacing w:before="156" w:after="156"/>
        <w:ind w:firstLine="0" w:firstLineChars="0"/>
        <w:rPr>
          <w:rFonts w:hint="default" w:ascii="Times New Roman" w:hAnsi="Times New Roman" w:cs="Times New Roman"/>
          <w:color w:val="000000"/>
        </w:rPr>
      </w:pPr>
      <w:bookmarkStart w:id="14" w:name="_Toc520410235"/>
      <w:bookmarkStart w:id="15" w:name="_Toc8618"/>
      <w:bookmarkStart w:id="16" w:name="_Toc5204523"/>
      <w:r>
        <w:rPr>
          <w:rFonts w:hint="default" w:ascii="Times New Roman" w:hAnsi="Times New Roman" w:cs="Times New Roman"/>
          <w:color w:val="000000"/>
        </w:rPr>
        <w:t>2.3 其他资料</w:t>
      </w:r>
      <w:bookmarkEnd w:id="14"/>
      <w:bookmarkEnd w:id="15"/>
      <w:bookmarkEnd w:id="16"/>
    </w:p>
    <w:p w14:paraId="45077010">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（1）《</w:t>
      </w:r>
      <w:r>
        <w:rPr>
          <w:rFonts w:hint="default" w:ascii="Times New Roman" w:hAnsi="Times New Roman" w:eastAsia="仿宋" w:cs="Times New Roman"/>
          <w:color w:val="000000"/>
          <w:lang w:eastAsia="zh-CN"/>
        </w:rPr>
        <w:t>江苏九州星际新材料有限公司20000 吨/年超高分子量聚乙烯纤维项目环境影响报告书</w:t>
      </w:r>
      <w:r>
        <w:rPr>
          <w:rFonts w:hint="default" w:ascii="Times New Roman" w:hAnsi="Times New Roman" w:eastAsia="仿宋" w:cs="Times New Roman"/>
          <w:color w:val="000000"/>
        </w:rPr>
        <w:t>》，2023年；</w:t>
      </w:r>
    </w:p>
    <w:p w14:paraId="66E5DC7E">
      <w:pPr>
        <w:spacing w:line="480" w:lineRule="exact"/>
        <w:ind w:firstLine="560"/>
        <w:rPr>
          <w:rFonts w:hint="default" w:ascii="Times New Roman" w:hAnsi="Times New Roman" w:eastAsia="仿宋" w:cs="Times New Roman"/>
          <w:color w:val="000000"/>
          <w:lang w:eastAsia="zh-CN"/>
        </w:rPr>
      </w:pPr>
      <w:r>
        <w:rPr>
          <w:rFonts w:hint="default" w:ascii="Times New Roman" w:hAnsi="Times New Roman" w:eastAsia="仿宋" w:cs="Times New Roman"/>
          <w:color w:val="000000"/>
        </w:rPr>
        <w:t>（</w:t>
      </w:r>
      <w:r>
        <w:rPr>
          <w:rFonts w:hint="default" w:ascii="Times New Roman" w:hAnsi="Times New Roman" w:eastAsia="仿宋" w:cs="Times New Roman"/>
          <w:color w:val="000000"/>
          <w:lang w:val="en-US" w:eastAsia="zh-CN"/>
        </w:rPr>
        <w:t>2</w:t>
      </w:r>
      <w:r>
        <w:rPr>
          <w:rFonts w:hint="default" w:ascii="Times New Roman" w:hAnsi="Times New Roman" w:eastAsia="仿宋" w:cs="Times New Roman"/>
          <w:color w:val="000000"/>
        </w:rPr>
        <w:t>）</w:t>
      </w:r>
      <w:r>
        <w:rPr>
          <w:rFonts w:hint="default" w:ascii="Times New Roman" w:hAnsi="Times New Roman" w:eastAsia="仿宋" w:cs="Times New Roman"/>
          <w:color w:val="000000"/>
          <w:lang w:eastAsia="zh-CN"/>
        </w:rPr>
        <w:t>《</w:t>
      </w:r>
      <w:r>
        <w:rPr>
          <w:rFonts w:hint="default" w:ascii="Times New Roman" w:hAnsi="Times New Roman" w:eastAsia="仿宋" w:cs="Times New Roman"/>
          <w:color w:val="000000"/>
        </w:rPr>
        <w:t>关于《江苏九州星际新材料有限公司20000 吨/年超高分子量聚乙烯纤维项目环境影响报告书》的批复</w:t>
      </w:r>
      <w:r>
        <w:rPr>
          <w:rFonts w:hint="default" w:ascii="Times New Roman" w:hAnsi="Times New Roman" w:eastAsia="仿宋" w:cs="Times New Roman"/>
          <w:color w:val="000000"/>
          <w:lang w:eastAsia="zh-CN"/>
        </w:rPr>
        <w:t>》（港管环【2023】4号）；</w:t>
      </w:r>
    </w:p>
    <w:p w14:paraId="554EC0A4">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w:t>
      </w:r>
      <w:r>
        <w:rPr>
          <w:rFonts w:hint="default" w:ascii="Times New Roman" w:hAnsi="Times New Roman" w:eastAsia="仿宋" w:cs="Times New Roman"/>
          <w:color w:val="000000"/>
          <w:lang w:val="en-US" w:eastAsia="zh-CN"/>
        </w:rPr>
        <w:t>3</w:t>
      </w:r>
      <w:r>
        <w:rPr>
          <w:rFonts w:hint="default" w:ascii="Times New Roman" w:hAnsi="Times New Roman" w:eastAsia="仿宋" w:cs="Times New Roman"/>
          <w:color w:val="000000"/>
        </w:rPr>
        <w:t>）</w:t>
      </w:r>
      <w:r>
        <w:rPr>
          <w:rFonts w:hint="default" w:ascii="Times New Roman" w:hAnsi="Times New Roman" w:eastAsia="仿宋" w:cs="Times New Roman"/>
          <w:color w:val="000000"/>
          <w:lang w:eastAsia="zh-CN"/>
        </w:rPr>
        <w:t>江苏九州星际新材料有限公司</w:t>
      </w:r>
      <w:r>
        <w:rPr>
          <w:rFonts w:hint="default" w:ascii="Times New Roman" w:hAnsi="Times New Roman" w:eastAsia="仿宋" w:cs="Times New Roman"/>
          <w:color w:val="000000"/>
        </w:rPr>
        <w:t>提供的其他相关材料。</w:t>
      </w:r>
    </w:p>
    <w:p w14:paraId="0EFB302A">
      <w:pPr>
        <w:spacing w:line="480" w:lineRule="exact"/>
        <w:ind w:firstLine="560"/>
        <w:rPr>
          <w:rFonts w:hint="default" w:ascii="Times New Roman" w:hAnsi="Times New Roman" w:cs="Times New Roman"/>
          <w:color w:val="000000"/>
        </w:rPr>
        <w:sectPr>
          <w:pgSz w:w="11906" w:h="16838"/>
          <w:pgMar w:top="1440" w:right="1800" w:bottom="1440" w:left="1800" w:header="851" w:footer="992" w:gutter="0"/>
          <w:cols w:space="425" w:num="1"/>
          <w:docGrid w:type="lines" w:linePitch="381" w:charSpace="0"/>
        </w:sectPr>
      </w:pPr>
    </w:p>
    <w:p w14:paraId="6AB1D76D">
      <w:pPr>
        <w:pStyle w:val="2"/>
        <w:spacing w:before="381" w:after="381"/>
        <w:rPr>
          <w:rFonts w:hint="default" w:ascii="Times New Roman" w:hAnsi="Times New Roman" w:cs="Times New Roman"/>
          <w:color w:val="000000"/>
        </w:rPr>
      </w:pPr>
      <w:bookmarkStart w:id="17" w:name="_Toc5204524"/>
      <w:bookmarkStart w:id="18" w:name="_Toc8822"/>
      <w:bookmarkStart w:id="19" w:name="_Toc520410236"/>
      <w:r>
        <w:rPr>
          <w:rFonts w:hint="default" w:ascii="Times New Roman" w:hAnsi="Times New Roman" w:cs="Times New Roman"/>
          <w:color w:val="000000"/>
        </w:rPr>
        <w:t>3工程建设情况</w:t>
      </w:r>
      <w:bookmarkEnd w:id="17"/>
      <w:bookmarkEnd w:id="18"/>
      <w:bookmarkEnd w:id="19"/>
    </w:p>
    <w:p w14:paraId="76F1FFD4">
      <w:pPr>
        <w:pStyle w:val="3"/>
        <w:spacing w:before="0" w:after="0" w:line="360" w:lineRule="auto"/>
        <w:ind w:firstLine="0" w:firstLineChars="0"/>
        <w:rPr>
          <w:rFonts w:hint="default" w:ascii="Times New Roman" w:hAnsi="Times New Roman" w:cs="Times New Roman"/>
          <w:color w:val="000000"/>
        </w:rPr>
      </w:pPr>
      <w:bookmarkStart w:id="20" w:name="_Toc5204525"/>
      <w:bookmarkStart w:id="21" w:name="_Toc16886"/>
      <w:bookmarkStart w:id="22" w:name="_Toc520410237"/>
      <w:r>
        <w:rPr>
          <w:rFonts w:hint="default" w:ascii="Times New Roman" w:hAnsi="Times New Roman" w:cs="Times New Roman"/>
          <w:color w:val="000000"/>
        </w:rPr>
        <w:t>3.1 地理位置及平面布置</w:t>
      </w:r>
      <w:bookmarkEnd w:id="20"/>
      <w:bookmarkEnd w:id="21"/>
      <w:bookmarkEnd w:id="22"/>
    </w:p>
    <w:p w14:paraId="04858716">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lang w:eastAsia="zh-CN"/>
        </w:rPr>
        <w:t>江苏九州星际新材料有限公司厂址位于江苏省如东洋口港经济开发区渤海路1号，厂区总占地面积</w:t>
      </w:r>
      <w:r>
        <w:rPr>
          <w:rFonts w:hint="default" w:ascii="Times New Roman" w:hAnsi="Times New Roman" w:eastAsia="仿宋" w:cs="Times New Roman"/>
          <w:lang w:val="en-US" w:eastAsia="zh-CN"/>
        </w:rPr>
        <w:t>约300000</w:t>
      </w:r>
      <w:r>
        <w:rPr>
          <w:rFonts w:hint="default" w:ascii="Times New Roman" w:hAnsi="Times New Roman" w:eastAsia="仿宋" w:cs="Times New Roman"/>
          <w:lang w:eastAsia="zh-CN"/>
        </w:rPr>
        <w:t>m</w:t>
      </w:r>
      <w:r>
        <w:rPr>
          <w:rFonts w:hint="default" w:ascii="Times New Roman" w:hAnsi="Times New Roman" w:eastAsia="仿宋" w:cs="Times New Roman"/>
          <w:vertAlign w:val="superscript"/>
          <w:lang w:eastAsia="zh-CN"/>
        </w:rPr>
        <w:t>2</w:t>
      </w:r>
      <w:r>
        <w:rPr>
          <w:rFonts w:hint="default" w:ascii="Times New Roman" w:hAnsi="Times New Roman" w:eastAsia="仿宋" w:cs="Times New Roman"/>
          <w:lang w:eastAsia="zh-CN"/>
        </w:rPr>
        <w:t>，北侧为北横河；厂区东侧为经八路，隔路为空地；南边为洋口港能源中心酒店；厂区西侧为北横河支流，隔河为空地。</w:t>
      </w:r>
      <w:r>
        <w:rPr>
          <w:rFonts w:hint="default" w:ascii="Times New Roman" w:hAnsi="Times New Roman" w:eastAsia="仿宋" w:cs="Times New Roman"/>
          <w:lang w:val="en-US" w:eastAsia="zh-CN"/>
        </w:rPr>
        <w:t>江苏九州星际新材料有限公司</w:t>
      </w:r>
      <w:r>
        <w:rPr>
          <w:rFonts w:hint="default" w:ascii="Times New Roman" w:hAnsi="Times New Roman" w:eastAsia="仿宋" w:cs="Times New Roman"/>
          <w:lang w:eastAsia="zh-CN"/>
        </w:rPr>
        <w:t>厂区地块整体呈</w:t>
      </w:r>
      <w:r>
        <w:rPr>
          <w:rFonts w:hint="default" w:ascii="Times New Roman" w:hAnsi="Times New Roman" w:eastAsia="仿宋" w:cs="Times New Roman"/>
          <w:lang w:val="en-US" w:eastAsia="zh-CN"/>
        </w:rPr>
        <w:t>矩形</w:t>
      </w:r>
      <w:r>
        <w:rPr>
          <w:rFonts w:hint="default" w:ascii="Times New Roman" w:hAnsi="Times New Roman" w:eastAsia="仿宋" w:cs="Times New Roman"/>
          <w:color w:val="000000"/>
        </w:rPr>
        <w:t>。</w:t>
      </w:r>
    </w:p>
    <w:p w14:paraId="44D5D340">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此次验收的</w:t>
      </w:r>
      <w:r>
        <w:rPr>
          <w:rFonts w:hint="default" w:ascii="Times New Roman" w:hAnsi="Times New Roman" w:eastAsia="仿宋" w:cs="Times New Roman"/>
          <w:lang w:eastAsia="zh-CN"/>
        </w:rPr>
        <w:t>年产20000 吨超高分子量聚乙烯纤维项目</w:t>
      </w:r>
      <w:r>
        <w:rPr>
          <w:rFonts w:hint="default" w:ascii="Times New Roman" w:hAnsi="Times New Roman" w:eastAsia="仿宋" w:cs="Times New Roman"/>
          <w:color w:val="000000"/>
        </w:rPr>
        <w:t>位于车间五，车间五位于厂区中部。其它公辅设施依托厂区现有项目。污水处理站、危废仓库、应急事故池位于厂区西侧。</w:t>
      </w:r>
    </w:p>
    <w:p w14:paraId="6E8C888F">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本项目地理位置示意图见图3.1-1，周边环境概况图见图3.1-2，</w:t>
      </w:r>
      <w:bookmarkStart w:id="23" w:name="OLE_LINK9"/>
      <w:r>
        <w:rPr>
          <w:rFonts w:hint="default" w:ascii="Times New Roman" w:hAnsi="Times New Roman" w:eastAsia="仿宋" w:cs="Times New Roman"/>
          <w:color w:val="000000"/>
        </w:rPr>
        <w:t>厂区平面布置图</w:t>
      </w:r>
      <w:bookmarkEnd w:id="23"/>
      <w:r>
        <w:rPr>
          <w:rFonts w:hint="default" w:ascii="Times New Roman" w:hAnsi="Times New Roman" w:eastAsia="仿宋" w:cs="Times New Roman"/>
          <w:color w:val="000000"/>
        </w:rPr>
        <w:t>见图3.1-3。根据现场踏勘及调查分析，本项目地理位置不变，与环评一致。</w:t>
      </w:r>
    </w:p>
    <w:p w14:paraId="3AEDDB3C">
      <w:pPr>
        <w:pStyle w:val="3"/>
        <w:spacing w:before="156" w:after="156"/>
        <w:ind w:firstLine="0" w:firstLineChars="0"/>
        <w:rPr>
          <w:rFonts w:hint="default" w:ascii="Times New Roman" w:hAnsi="Times New Roman" w:cs="Times New Roman"/>
          <w:color w:val="000000"/>
        </w:rPr>
      </w:pPr>
      <w:bookmarkStart w:id="24" w:name="_Toc5204526"/>
      <w:bookmarkStart w:id="25" w:name="_Toc520410238"/>
      <w:bookmarkStart w:id="26" w:name="_Toc9531"/>
      <w:r>
        <w:rPr>
          <w:rFonts w:hint="default" w:ascii="Times New Roman" w:hAnsi="Times New Roman" w:cs="Times New Roman"/>
          <w:color w:val="000000"/>
        </w:rPr>
        <w:t>3.2 建设内容</w:t>
      </w:r>
      <w:bookmarkEnd w:id="24"/>
      <w:bookmarkEnd w:id="25"/>
      <w:bookmarkEnd w:id="26"/>
    </w:p>
    <w:p w14:paraId="5C7FB5EB">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1、主体工程</w:t>
      </w:r>
    </w:p>
    <w:p w14:paraId="0F25B05F">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本次验收的项目为</w:t>
      </w:r>
      <w:r>
        <w:rPr>
          <w:rFonts w:hint="default" w:ascii="Times New Roman" w:hAnsi="Times New Roman" w:eastAsia="仿宋" w:cs="Times New Roman"/>
          <w:lang w:eastAsia="zh-CN"/>
        </w:rPr>
        <w:t>年产20000 吨超高分子量聚乙烯纤维项目</w:t>
      </w:r>
      <w:r>
        <w:rPr>
          <w:rFonts w:hint="default" w:ascii="Times New Roman" w:hAnsi="Times New Roman" w:eastAsia="仿宋" w:cs="Times New Roman"/>
        </w:rPr>
        <w:t>（</w:t>
      </w:r>
      <w:r>
        <w:rPr>
          <w:rFonts w:hint="default" w:ascii="Times New Roman" w:hAnsi="Times New Roman" w:eastAsia="仿宋" w:cs="Times New Roman"/>
          <w:lang w:eastAsia="zh-CN"/>
        </w:rPr>
        <w:t>第二阶段：车间五年产2784吨超高分子量聚乙烯纤维项目</w:t>
      </w:r>
      <w:r>
        <w:rPr>
          <w:rFonts w:hint="default" w:ascii="Times New Roman" w:hAnsi="Times New Roman" w:eastAsia="仿宋" w:cs="Times New Roman"/>
        </w:rPr>
        <w:t>）</w:t>
      </w:r>
      <w:r>
        <w:rPr>
          <w:rFonts w:hint="default" w:ascii="Times New Roman" w:hAnsi="Times New Roman" w:eastAsia="仿宋" w:cs="Times New Roman"/>
          <w:color w:val="000000"/>
        </w:rPr>
        <w:t>。项目主体工程位于车间五。</w:t>
      </w:r>
      <w:bookmarkStart w:id="27" w:name="_Hlk520386310"/>
      <w:r>
        <w:rPr>
          <w:rFonts w:hint="default" w:ascii="Times New Roman" w:hAnsi="Times New Roman" w:eastAsia="仿宋" w:cs="Times New Roman"/>
          <w:color w:val="000000"/>
        </w:rPr>
        <w:t>本项目为二期扩建项目，年工作3</w:t>
      </w:r>
      <w:r>
        <w:rPr>
          <w:rFonts w:hint="default" w:ascii="Times New Roman" w:hAnsi="Times New Roman" w:eastAsia="仿宋" w:cs="Times New Roman"/>
          <w:color w:val="000000"/>
          <w:lang w:val="en-US" w:eastAsia="zh-CN"/>
        </w:rPr>
        <w:t>0</w:t>
      </w:r>
      <w:r>
        <w:rPr>
          <w:rFonts w:hint="default" w:ascii="Times New Roman" w:hAnsi="Times New Roman" w:eastAsia="仿宋" w:cs="Times New Roman"/>
          <w:color w:val="000000"/>
        </w:rPr>
        <w:t>0天，每天24小时生产。</w:t>
      </w:r>
    </w:p>
    <w:bookmarkEnd w:id="27"/>
    <w:p w14:paraId="7DFB7FCE">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项目工程建设情况见表3.2-1，项目产品方案见表3.2-2。</w:t>
      </w:r>
    </w:p>
    <w:p w14:paraId="1B33F79D">
      <w:pPr>
        <w:snapToGrid w:val="0"/>
        <w:spacing w:line="480" w:lineRule="exact"/>
        <w:ind w:firstLine="0" w:firstLineChars="0"/>
        <w:jc w:val="center"/>
        <w:rPr>
          <w:rFonts w:hint="default" w:ascii="Times New Roman" w:hAnsi="Times New Roman" w:cs="Times New Roman"/>
          <w:b/>
          <w:bCs/>
          <w:color w:val="000000"/>
        </w:rPr>
      </w:pPr>
    </w:p>
    <w:p w14:paraId="4349DA88">
      <w:pPr>
        <w:snapToGrid w:val="0"/>
        <w:spacing w:line="480" w:lineRule="exact"/>
        <w:ind w:firstLine="0" w:firstLineChars="0"/>
        <w:jc w:val="center"/>
        <w:rPr>
          <w:rFonts w:hint="default" w:ascii="Times New Roman" w:hAnsi="Times New Roman" w:cs="Times New Roman"/>
          <w:b/>
          <w:bCs/>
          <w:color w:val="000000"/>
        </w:rPr>
      </w:pPr>
    </w:p>
    <w:p w14:paraId="4AB320EF">
      <w:pPr>
        <w:snapToGrid w:val="0"/>
        <w:spacing w:line="480" w:lineRule="exact"/>
        <w:ind w:firstLine="0" w:firstLineChars="0"/>
        <w:jc w:val="center"/>
        <w:rPr>
          <w:rFonts w:hint="default" w:ascii="Times New Roman" w:hAnsi="Times New Roman" w:cs="Times New Roman"/>
          <w:b/>
          <w:bCs/>
          <w:color w:val="000000"/>
        </w:rPr>
      </w:pPr>
    </w:p>
    <w:p w14:paraId="1CF81034">
      <w:pPr>
        <w:pStyle w:val="10"/>
        <w:rPr>
          <w:rFonts w:hint="default" w:ascii="Times New Roman" w:hAnsi="Times New Roman" w:cs="Times New Roman"/>
        </w:rPr>
      </w:pPr>
    </w:p>
    <w:p w14:paraId="55A8ED12">
      <w:pPr>
        <w:snapToGrid w:val="0"/>
        <w:spacing w:line="480" w:lineRule="exact"/>
        <w:ind w:firstLine="0" w:firstLineChars="0"/>
        <w:jc w:val="center"/>
        <w:rPr>
          <w:rFonts w:hint="default" w:ascii="Times New Roman" w:hAnsi="Times New Roman" w:cs="Times New Roman"/>
          <w:b/>
          <w:bCs/>
          <w:color w:val="000000"/>
        </w:rPr>
      </w:pPr>
    </w:p>
    <w:p w14:paraId="27E2B04C">
      <w:pPr>
        <w:snapToGrid w:val="0"/>
        <w:spacing w:line="480" w:lineRule="exact"/>
        <w:ind w:firstLine="0" w:firstLineChars="0"/>
        <w:jc w:val="center"/>
        <w:rPr>
          <w:rFonts w:hint="default" w:ascii="Times New Roman" w:hAnsi="Times New Roman" w:cs="Times New Roman"/>
          <w:b/>
          <w:bCs/>
          <w:color w:val="000000"/>
        </w:rPr>
      </w:pPr>
      <w:r>
        <w:rPr>
          <w:rFonts w:hint="default" w:ascii="Times New Roman" w:hAnsi="Times New Roman" w:cs="Times New Roman"/>
          <w:b/>
          <w:bCs/>
          <w:color w:val="000000"/>
        </w:rPr>
        <w:t>表3.2-1  项目工程建设情况表</w:t>
      </w:r>
    </w:p>
    <w:tbl>
      <w:tblPr>
        <w:tblStyle w:val="25"/>
        <w:tblW w:w="84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564"/>
        <w:gridCol w:w="6163"/>
      </w:tblGrid>
      <w:tr w14:paraId="51FF0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tcBorders>
              <w:top w:val="single" w:color="auto" w:sz="12" w:space="0"/>
              <w:left w:val="nil"/>
            </w:tcBorders>
            <w:tcMar>
              <w:top w:w="11" w:type="dxa"/>
              <w:left w:w="57" w:type="dxa"/>
              <w:bottom w:w="11" w:type="dxa"/>
              <w:right w:w="57" w:type="dxa"/>
            </w:tcMar>
            <w:vAlign w:val="center"/>
          </w:tcPr>
          <w:p w14:paraId="4F908AA5">
            <w:pPr>
              <w:spacing w:line="360" w:lineRule="exact"/>
              <w:ind w:firstLine="0" w:firstLineChars="0"/>
              <w:jc w:val="center"/>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序号</w:t>
            </w:r>
          </w:p>
        </w:tc>
        <w:tc>
          <w:tcPr>
            <w:tcW w:w="1564" w:type="dxa"/>
            <w:tcBorders>
              <w:top w:val="single" w:color="auto" w:sz="12" w:space="0"/>
            </w:tcBorders>
            <w:tcMar>
              <w:top w:w="11" w:type="dxa"/>
              <w:left w:w="57" w:type="dxa"/>
              <w:bottom w:w="11" w:type="dxa"/>
              <w:right w:w="57" w:type="dxa"/>
            </w:tcMar>
            <w:vAlign w:val="center"/>
          </w:tcPr>
          <w:p w14:paraId="090C396E">
            <w:pPr>
              <w:spacing w:line="360" w:lineRule="exact"/>
              <w:ind w:firstLine="0" w:firstLineChars="0"/>
              <w:jc w:val="center"/>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项目</w:t>
            </w:r>
          </w:p>
        </w:tc>
        <w:tc>
          <w:tcPr>
            <w:tcW w:w="6163" w:type="dxa"/>
            <w:tcBorders>
              <w:top w:val="single" w:color="auto" w:sz="12" w:space="0"/>
              <w:right w:val="nil"/>
            </w:tcBorders>
            <w:tcMar>
              <w:top w:w="11" w:type="dxa"/>
              <w:left w:w="57" w:type="dxa"/>
              <w:bottom w:w="11" w:type="dxa"/>
              <w:right w:w="57" w:type="dxa"/>
            </w:tcMar>
            <w:vAlign w:val="center"/>
          </w:tcPr>
          <w:p w14:paraId="48D4B330">
            <w:pPr>
              <w:spacing w:line="360" w:lineRule="exact"/>
              <w:ind w:firstLine="0" w:firstLineChars="0"/>
              <w:jc w:val="center"/>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执行情况</w:t>
            </w:r>
          </w:p>
        </w:tc>
      </w:tr>
      <w:tr w14:paraId="65F05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tcBorders>
              <w:left w:val="nil"/>
            </w:tcBorders>
            <w:tcMar>
              <w:top w:w="11" w:type="dxa"/>
              <w:left w:w="57" w:type="dxa"/>
              <w:bottom w:w="11" w:type="dxa"/>
              <w:right w:w="57" w:type="dxa"/>
            </w:tcMar>
            <w:vAlign w:val="center"/>
          </w:tcPr>
          <w:p w14:paraId="3E7EA1BB">
            <w:pPr>
              <w:spacing w:line="360" w:lineRule="exact"/>
              <w:ind w:firstLine="0" w:firstLineChars="0"/>
              <w:jc w:val="center"/>
              <w:rPr>
                <w:rFonts w:hint="default" w:ascii="Times New Roman" w:hAnsi="Times New Roman" w:eastAsia="仿宋" w:cs="Times New Roman"/>
                <w:color w:val="000000"/>
                <w:sz w:val="21"/>
                <w:szCs w:val="21"/>
                <w:lang w:eastAsia="zh-CN"/>
              </w:rPr>
            </w:pPr>
            <w:r>
              <w:rPr>
                <w:rFonts w:hint="default" w:ascii="Times New Roman" w:hAnsi="Times New Roman" w:eastAsia="仿宋" w:cs="Times New Roman"/>
                <w:color w:val="000000"/>
                <w:sz w:val="21"/>
                <w:szCs w:val="21"/>
                <w:lang w:val="en-US" w:eastAsia="zh-CN"/>
              </w:rPr>
              <w:t>1</w:t>
            </w:r>
          </w:p>
        </w:tc>
        <w:tc>
          <w:tcPr>
            <w:tcW w:w="1564" w:type="dxa"/>
            <w:tcMar>
              <w:top w:w="11" w:type="dxa"/>
              <w:left w:w="57" w:type="dxa"/>
              <w:bottom w:w="11" w:type="dxa"/>
              <w:right w:w="57" w:type="dxa"/>
            </w:tcMar>
            <w:vAlign w:val="center"/>
          </w:tcPr>
          <w:p w14:paraId="057F3277">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环评批复</w:t>
            </w:r>
          </w:p>
        </w:tc>
        <w:tc>
          <w:tcPr>
            <w:tcW w:w="6163" w:type="dxa"/>
            <w:tcBorders>
              <w:right w:val="nil"/>
            </w:tcBorders>
            <w:tcMar>
              <w:top w:w="11" w:type="dxa"/>
              <w:left w:w="57" w:type="dxa"/>
              <w:bottom w:w="11" w:type="dxa"/>
              <w:right w:w="57" w:type="dxa"/>
            </w:tcMar>
            <w:vAlign w:val="center"/>
          </w:tcPr>
          <w:p w14:paraId="473B3E9D">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江苏如东洋口港经济开发区管理委员会于20</w:t>
            </w:r>
            <w:r>
              <w:rPr>
                <w:rFonts w:hint="default" w:ascii="Times New Roman" w:hAnsi="Times New Roman" w:eastAsia="仿宋" w:cs="Times New Roman"/>
                <w:color w:val="000000"/>
                <w:sz w:val="21"/>
                <w:szCs w:val="21"/>
                <w:lang w:val="en-US" w:eastAsia="zh-CN"/>
              </w:rPr>
              <w:t>23</w:t>
            </w:r>
            <w:r>
              <w:rPr>
                <w:rFonts w:hint="default" w:ascii="Times New Roman" w:hAnsi="Times New Roman" w:eastAsia="仿宋" w:cs="Times New Roman"/>
                <w:color w:val="000000"/>
                <w:sz w:val="21"/>
                <w:szCs w:val="21"/>
              </w:rPr>
              <w:t>年</w:t>
            </w:r>
            <w:r>
              <w:rPr>
                <w:rFonts w:hint="default" w:ascii="Times New Roman" w:hAnsi="Times New Roman" w:eastAsia="仿宋" w:cs="Times New Roman"/>
                <w:color w:val="000000"/>
                <w:sz w:val="21"/>
                <w:szCs w:val="21"/>
                <w:lang w:val="en-US" w:eastAsia="zh-CN"/>
              </w:rPr>
              <w:t>3</w:t>
            </w:r>
            <w:r>
              <w:rPr>
                <w:rFonts w:hint="default" w:ascii="Times New Roman" w:hAnsi="Times New Roman" w:eastAsia="仿宋" w:cs="Times New Roman"/>
                <w:color w:val="000000"/>
                <w:sz w:val="21"/>
                <w:szCs w:val="21"/>
              </w:rPr>
              <w:t>月以港管环</w:t>
            </w:r>
            <w:r>
              <w:rPr>
                <w:rFonts w:hint="default" w:ascii="Times New Roman" w:hAnsi="Times New Roman" w:eastAsia="仿宋" w:cs="Times New Roman"/>
                <w:color w:val="000000"/>
                <w:sz w:val="21"/>
                <w:szCs w:val="21"/>
                <w:lang w:eastAsia="zh-CN"/>
              </w:rPr>
              <w:t>[</w:t>
            </w:r>
            <w:r>
              <w:rPr>
                <w:rFonts w:hint="default" w:ascii="Times New Roman" w:hAnsi="Times New Roman" w:eastAsia="仿宋" w:cs="Times New Roman"/>
                <w:color w:val="000000"/>
                <w:sz w:val="21"/>
                <w:szCs w:val="21"/>
              </w:rPr>
              <w:t>2023]4号对项目环评报告书予以批复同意建设。</w:t>
            </w:r>
          </w:p>
        </w:tc>
      </w:tr>
      <w:tr w14:paraId="17A41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tcBorders>
              <w:left w:val="nil"/>
            </w:tcBorders>
            <w:tcMar>
              <w:top w:w="11" w:type="dxa"/>
              <w:left w:w="57" w:type="dxa"/>
              <w:bottom w:w="11" w:type="dxa"/>
              <w:right w:w="57" w:type="dxa"/>
            </w:tcMar>
            <w:vAlign w:val="center"/>
          </w:tcPr>
          <w:p w14:paraId="2694FA66">
            <w:pPr>
              <w:spacing w:line="360" w:lineRule="exact"/>
              <w:ind w:firstLine="0" w:firstLineChars="0"/>
              <w:jc w:val="center"/>
              <w:rPr>
                <w:rFonts w:hint="default" w:ascii="Times New Roman" w:hAnsi="Times New Roman" w:eastAsia="仿宋" w:cs="Times New Roman"/>
                <w:color w:val="000000"/>
                <w:sz w:val="21"/>
                <w:szCs w:val="21"/>
                <w:highlight w:val="none"/>
                <w:lang w:eastAsia="zh-CN"/>
              </w:rPr>
            </w:pPr>
            <w:r>
              <w:rPr>
                <w:rFonts w:hint="default" w:ascii="Times New Roman" w:hAnsi="Times New Roman" w:eastAsia="仿宋" w:cs="Times New Roman"/>
                <w:color w:val="000000"/>
                <w:sz w:val="21"/>
                <w:szCs w:val="21"/>
                <w:highlight w:val="none"/>
                <w:lang w:val="en-US" w:eastAsia="zh-CN"/>
              </w:rPr>
              <w:t>2</w:t>
            </w:r>
          </w:p>
        </w:tc>
        <w:tc>
          <w:tcPr>
            <w:tcW w:w="1564" w:type="dxa"/>
            <w:tcMar>
              <w:top w:w="11" w:type="dxa"/>
              <w:left w:w="57" w:type="dxa"/>
              <w:bottom w:w="11" w:type="dxa"/>
              <w:right w:w="57" w:type="dxa"/>
            </w:tcMar>
            <w:vAlign w:val="center"/>
          </w:tcPr>
          <w:p w14:paraId="4C4103A0">
            <w:pPr>
              <w:spacing w:line="360" w:lineRule="exact"/>
              <w:ind w:firstLine="0" w:firstLineChars="0"/>
              <w:jc w:val="center"/>
              <w:rPr>
                <w:rFonts w:hint="default" w:ascii="Times New Roman" w:hAnsi="Times New Roman" w:eastAsia="仿宋" w:cs="Times New Roman"/>
                <w:color w:val="000000"/>
                <w:sz w:val="21"/>
                <w:szCs w:val="21"/>
                <w:highlight w:val="none"/>
              </w:rPr>
            </w:pPr>
            <w:r>
              <w:rPr>
                <w:rFonts w:hint="default" w:ascii="Times New Roman" w:hAnsi="Times New Roman" w:eastAsia="仿宋" w:cs="Times New Roman"/>
                <w:color w:val="000000"/>
                <w:sz w:val="21"/>
                <w:szCs w:val="21"/>
                <w:highlight w:val="none"/>
              </w:rPr>
              <w:t>环保设施设计施工单位</w:t>
            </w:r>
          </w:p>
        </w:tc>
        <w:tc>
          <w:tcPr>
            <w:tcW w:w="6163" w:type="dxa"/>
            <w:tcBorders>
              <w:right w:val="nil"/>
            </w:tcBorders>
            <w:tcMar>
              <w:top w:w="11" w:type="dxa"/>
              <w:left w:w="57" w:type="dxa"/>
              <w:bottom w:w="11" w:type="dxa"/>
              <w:right w:w="57" w:type="dxa"/>
            </w:tcMar>
            <w:vAlign w:val="center"/>
          </w:tcPr>
          <w:p w14:paraId="718EE11D">
            <w:pPr>
              <w:spacing w:line="360" w:lineRule="exact"/>
              <w:ind w:firstLine="0" w:firstLineChars="0"/>
              <w:jc w:val="center"/>
              <w:rPr>
                <w:rFonts w:hint="default" w:ascii="Times New Roman" w:hAnsi="Times New Roman" w:eastAsia="仿宋" w:cs="Times New Roman"/>
                <w:color w:val="000000"/>
                <w:sz w:val="21"/>
                <w:szCs w:val="21"/>
                <w:highlight w:val="none"/>
              </w:rPr>
            </w:pPr>
            <w:r>
              <w:rPr>
                <w:rFonts w:hint="default" w:ascii="Times New Roman" w:hAnsi="Times New Roman" w:eastAsia="仿宋" w:cs="Times New Roman"/>
                <w:color w:val="000000"/>
                <w:sz w:val="21"/>
                <w:szCs w:val="21"/>
                <w:highlight w:val="none"/>
                <w:lang w:val="en-US" w:eastAsia="zh-CN"/>
              </w:rPr>
              <w:t>废水依托现有设施；</w:t>
            </w:r>
            <w:r>
              <w:rPr>
                <w:rFonts w:hint="default" w:ascii="Times New Roman" w:hAnsi="Times New Roman" w:eastAsia="仿宋" w:cs="Times New Roman"/>
                <w:color w:val="000000"/>
                <w:sz w:val="21"/>
                <w:szCs w:val="21"/>
                <w:highlight w:val="none"/>
              </w:rPr>
              <w:t>废气设施设计：</w:t>
            </w:r>
            <w:bookmarkStart w:id="28" w:name="_Hlk520390815"/>
            <w:r>
              <w:rPr>
                <w:rFonts w:hint="default" w:ascii="Times New Roman" w:hAnsi="Times New Roman" w:eastAsia="仿宋" w:cs="Times New Roman"/>
                <w:color w:val="000000"/>
                <w:sz w:val="21"/>
                <w:szCs w:val="21"/>
                <w:highlight w:val="none"/>
                <w:lang w:val="en-US" w:eastAsia="zh-CN"/>
              </w:rPr>
              <w:t>江苏齐清环境科技有限公司</w:t>
            </w:r>
            <w:r>
              <w:rPr>
                <w:rFonts w:hint="default" w:ascii="Times New Roman" w:hAnsi="Times New Roman" w:eastAsia="仿宋" w:cs="Times New Roman"/>
                <w:color w:val="000000"/>
                <w:sz w:val="21"/>
                <w:szCs w:val="21"/>
                <w:highlight w:val="none"/>
              </w:rPr>
              <w:t>；</w:t>
            </w:r>
          </w:p>
          <w:p w14:paraId="6FAD8A6E">
            <w:pPr>
              <w:spacing w:line="360" w:lineRule="exact"/>
              <w:ind w:firstLine="0" w:firstLineChars="0"/>
              <w:jc w:val="center"/>
              <w:rPr>
                <w:rFonts w:hint="default" w:ascii="Times New Roman" w:hAnsi="Times New Roman" w:eastAsia="仿宋" w:cs="Times New Roman"/>
                <w:color w:val="000000"/>
                <w:sz w:val="21"/>
                <w:szCs w:val="21"/>
                <w:highlight w:val="none"/>
              </w:rPr>
            </w:pPr>
            <w:r>
              <w:rPr>
                <w:rFonts w:hint="default" w:ascii="Times New Roman" w:hAnsi="Times New Roman" w:eastAsia="仿宋" w:cs="Times New Roman"/>
                <w:color w:val="000000"/>
                <w:sz w:val="21"/>
                <w:szCs w:val="21"/>
                <w:highlight w:val="none"/>
              </w:rPr>
              <w:t>废气设施施</w:t>
            </w:r>
            <w:r>
              <w:rPr>
                <w:rFonts w:hint="default" w:ascii="Times New Roman" w:hAnsi="Times New Roman" w:eastAsia="仿宋" w:cs="Times New Roman"/>
                <w:color w:val="000000"/>
                <w:sz w:val="21"/>
                <w:szCs w:val="21"/>
                <w:highlight w:val="none"/>
                <w:lang w:val="en-US" w:eastAsia="zh-CN"/>
              </w:rPr>
              <w:t>工：</w:t>
            </w:r>
            <w:bookmarkEnd w:id="28"/>
            <w:r>
              <w:rPr>
                <w:rFonts w:hint="default" w:ascii="Times New Roman" w:hAnsi="Times New Roman" w:eastAsia="仿宋" w:cs="Times New Roman"/>
                <w:color w:val="000000"/>
                <w:sz w:val="21"/>
                <w:szCs w:val="21"/>
                <w:highlight w:val="none"/>
                <w:lang w:val="en-US" w:eastAsia="zh-CN"/>
              </w:rPr>
              <w:t>自行施工</w:t>
            </w:r>
            <w:r>
              <w:rPr>
                <w:rFonts w:hint="eastAsia" w:eastAsia="仿宋" w:cs="Times New Roman"/>
                <w:color w:val="000000"/>
                <w:sz w:val="21"/>
                <w:szCs w:val="21"/>
                <w:highlight w:val="none"/>
                <w:lang w:val="en-US" w:eastAsia="zh-CN"/>
              </w:rPr>
              <w:t>。</w:t>
            </w:r>
          </w:p>
        </w:tc>
      </w:tr>
      <w:tr w14:paraId="381E2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tcBorders>
              <w:left w:val="nil"/>
            </w:tcBorders>
            <w:tcMar>
              <w:top w:w="11" w:type="dxa"/>
              <w:left w:w="57" w:type="dxa"/>
              <w:bottom w:w="11" w:type="dxa"/>
              <w:right w:w="57" w:type="dxa"/>
            </w:tcMar>
            <w:vAlign w:val="center"/>
          </w:tcPr>
          <w:p w14:paraId="38563147">
            <w:pPr>
              <w:spacing w:line="360" w:lineRule="exact"/>
              <w:ind w:firstLine="0" w:firstLineChars="0"/>
              <w:jc w:val="center"/>
              <w:rPr>
                <w:rFonts w:hint="default" w:ascii="Times New Roman" w:hAnsi="Times New Roman" w:eastAsia="仿宋" w:cs="Times New Roman"/>
                <w:color w:val="000000"/>
                <w:sz w:val="21"/>
                <w:szCs w:val="21"/>
                <w:highlight w:val="none"/>
                <w:lang w:eastAsia="zh-CN"/>
              </w:rPr>
            </w:pPr>
            <w:r>
              <w:rPr>
                <w:rFonts w:hint="default" w:ascii="Times New Roman" w:hAnsi="Times New Roman" w:eastAsia="仿宋" w:cs="Times New Roman"/>
                <w:color w:val="000000"/>
                <w:sz w:val="21"/>
                <w:szCs w:val="21"/>
                <w:highlight w:val="none"/>
                <w:lang w:val="en-US" w:eastAsia="zh-CN"/>
              </w:rPr>
              <w:t>3</w:t>
            </w:r>
          </w:p>
        </w:tc>
        <w:tc>
          <w:tcPr>
            <w:tcW w:w="1564" w:type="dxa"/>
            <w:tcMar>
              <w:top w:w="11" w:type="dxa"/>
              <w:left w:w="57" w:type="dxa"/>
              <w:bottom w:w="11" w:type="dxa"/>
              <w:right w:w="57" w:type="dxa"/>
            </w:tcMar>
            <w:vAlign w:val="center"/>
          </w:tcPr>
          <w:p w14:paraId="70299004">
            <w:pPr>
              <w:spacing w:line="360" w:lineRule="exact"/>
              <w:ind w:firstLine="0" w:firstLineChars="0"/>
              <w:jc w:val="center"/>
              <w:rPr>
                <w:rFonts w:hint="default" w:ascii="Times New Roman" w:hAnsi="Times New Roman" w:eastAsia="仿宋" w:cs="Times New Roman"/>
                <w:color w:val="000000"/>
                <w:sz w:val="21"/>
                <w:szCs w:val="21"/>
                <w:highlight w:val="none"/>
              </w:rPr>
            </w:pPr>
            <w:r>
              <w:rPr>
                <w:rFonts w:hint="default" w:ascii="Times New Roman" w:hAnsi="Times New Roman" w:eastAsia="仿宋" w:cs="Times New Roman"/>
                <w:color w:val="000000"/>
                <w:sz w:val="21"/>
                <w:szCs w:val="21"/>
                <w:highlight w:val="none"/>
              </w:rPr>
              <w:t>本次验收项目建设规模</w:t>
            </w:r>
          </w:p>
        </w:tc>
        <w:tc>
          <w:tcPr>
            <w:tcW w:w="6163" w:type="dxa"/>
            <w:tcBorders>
              <w:right w:val="nil"/>
            </w:tcBorders>
            <w:tcMar>
              <w:top w:w="11" w:type="dxa"/>
              <w:left w:w="57" w:type="dxa"/>
              <w:bottom w:w="11" w:type="dxa"/>
              <w:right w:w="57" w:type="dxa"/>
            </w:tcMar>
            <w:vAlign w:val="center"/>
          </w:tcPr>
          <w:p w14:paraId="2BC6EEE6">
            <w:pPr>
              <w:spacing w:line="360" w:lineRule="exact"/>
              <w:ind w:firstLine="0" w:firstLineChars="0"/>
              <w:jc w:val="center"/>
              <w:rPr>
                <w:rFonts w:hint="default" w:ascii="Times New Roman" w:hAnsi="Times New Roman" w:eastAsia="仿宋" w:cs="Times New Roman"/>
                <w:color w:val="000000"/>
                <w:sz w:val="21"/>
                <w:szCs w:val="21"/>
                <w:highlight w:val="none"/>
              </w:rPr>
            </w:pPr>
            <w:r>
              <w:rPr>
                <w:rFonts w:hint="default" w:ascii="Times New Roman" w:hAnsi="Times New Roman" w:eastAsia="仿宋" w:cs="Times New Roman"/>
                <w:color w:val="000000"/>
                <w:sz w:val="21"/>
                <w:szCs w:val="21"/>
                <w:highlight w:val="none"/>
                <w:lang w:eastAsia="zh-CN"/>
              </w:rPr>
              <w:t>年产</w:t>
            </w:r>
            <w:r>
              <w:rPr>
                <w:rFonts w:hint="default" w:ascii="Times New Roman" w:hAnsi="Times New Roman" w:eastAsia="仿宋" w:cs="Times New Roman"/>
                <w:color w:val="000000"/>
                <w:sz w:val="21"/>
                <w:szCs w:val="21"/>
                <w:highlight w:val="none"/>
                <w:lang w:val="en-US" w:eastAsia="zh-CN"/>
              </w:rPr>
              <w:t>2784</w:t>
            </w:r>
            <w:r>
              <w:rPr>
                <w:rFonts w:hint="default" w:ascii="Times New Roman" w:hAnsi="Times New Roman" w:eastAsia="仿宋" w:cs="Times New Roman"/>
                <w:color w:val="000000"/>
                <w:sz w:val="21"/>
                <w:szCs w:val="21"/>
                <w:highlight w:val="none"/>
                <w:lang w:eastAsia="zh-CN"/>
              </w:rPr>
              <w:t>吨超高分子量聚乙烯纤维项目</w:t>
            </w:r>
            <w:r>
              <w:rPr>
                <w:rFonts w:hint="default" w:ascii="Times New Roman" w:hAnsi="Times New Roman" w:eastAsia="仿宋" w:cs="Times New Roman"/>
                <w:color w:val="000000"/>
                <w:sz w:val="21"/>
                <w:szCs w:val="21"/>
                <w:highlight w:val="none"/>
              </w:rPr>
              <w:t>，项目总投资约</w:t>
            </w:r>
            <w:r>
              <w:rPr>
                <w:rFonts w:hint="default" w:ascii="Times New Roman" w:hAnsi="Times New Roman" w:eastAsia="仿宋" w:cs="Times New Roman"/>
                <w:color w:val="000000"/>
                <w:sz w:val="21"/>
                <w:szCs w:val="21"/>
                <w:highlight w:val="none"/>
                <w:lang w:val="en-US" w:eastAsia="zh-CN"/>
              </w:rPr>
              <w:t>35</w:t>
            </w:r>
            <w:r>
              <w:rPr>
                <w:rFonts w:hint="default" w:ascii="Times New Roman" w:hAnsi="Times New Roman" w:eastAsia="仿宋" w:cs="Times New Roman"/>
                <w:color w:val="000000"/>
                <w:sz w:val="21"/>
                <w:szCs w:val="21"/>
                <w:highlight w:val="none"/>
              </w:rPr>
              <w:t>00万元，其中环保投资约</w:t>
            </w:r>
            <w:r>
              <w:rPr>
                <w:rFonts w:hint="default" w:ascii="Times New Roman" w:hAnsi="Times New Roman" w:eastAsia="仿宋" w:cs="Times New Roman"/>
                <w:color w:val="000000"/>
                <w:sz w:val="21"/>
                <w:szCs w:val="21"/>
                <w:highlight w:val="none"/>
                <w:lang w:val="en-US" w:eastAsia="zh-CN"/>
              </w:rPr>
              <w:t>20</w:t>
            </w:r>
            <w:r>
              <w:rPr>
                <w:rFonts w:hint="default" w:ascii="Times New Roman" w:hAnsi="Times New Roman" w:eastAsia="仿宋" w:cs="Times New Roman"/>
                <w:color w:val="000000"/>
                <w:sz w:val="21"/>
                <w:szCs w:val="21"/>
                <w:highlight w:val="none"/>
              </w:rPr>
              <w:t>0万元，约占</w:t>
            </w:r>
            <w:r>
              <w:rPr>
                <w:rFonts w:hint="default" w:ascii="Times New Roman" w:hAnsi="Times New Roman" w:eastAsia="仿宋" w:cs="Times New Roman"/>
                <w:color w:val="000000"/>
                <w:sz w:val="21"/>
                <w:szCs w:val="21"/>
                <w:highlight w:val="none"/>
                <w:lang w:val="en-US" w:eastAsia="zh-CN"/>
              </w:rPr>
              <w:t>5.71</w:t>
            </w:r>
            <w:r>
              <w:rPr>
                <w:rFonts w:hint="default" w:ascii="Times New Roman" w:hAnsi="Times New Roman" w:eastAsia="仿宋" w:cs="Times New Roman"/>
                <w:color w:val="000000"/>
                <w:sz w:val="21"/>
                <w:szCs w:val="21"/>
                <w:highlight w:val="none"/>
              </w:rPr>
              <w:t>%。</w:t>
            </w:r>
          </w:p>
        </w:tc>
      </w:tr>
      <w:tr w14:paraId="54AC0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tcBorders>
              <w:left w:val="nil"/>
            </w:tcBorders>
            <w:tcMar>
              <w:top w:w="11" w:type="dxa"/>
              <w:left w:w="57" w:type="dxa"/>
              <w:bottom w:w="11" w:type="dxa"/>
              <w:right w:w="57" w:type="dxa"/>
            </w:tcMar>
            <w:vAlign w:val="center"/>
          </w:tcPr>
          <w:p w14:paraId="4B6D1556">
            <w:pPr>
              <w:spacing w:line="360" w:lineRule="exact"/>
              <w:ind w:firstLine="0" w:firstLineChars="0"/>
              <w:jc w:val="center"/>
              <w:rPr>
                <w:rFonts w:hint="default" w:ascii="Times New Roman" w:hAnsi="Times New Roman" w:eastAsia="仿宋" w:cs="Times New Roman"/>
                <w:color w:val="000000"/>
                <w:sz w:val="21"/>
                <w:szCs w:val="21"/>
                <w:lang w:eastAsia="zh-CN"/>
              </w:rPr>
            </w:pPr>
            <w:r>
              <w:rPr>
                <w:rFonts w:hint="default" w:ascii="Times New Roman" w:hAnsi="Times New Roman" w:eastAsia="仿宋" w:cs="Times New Roman"/>
                <w:color w:val="000000"/>
                <w:sz w:val="21"/>
                <w:szCs w:val="21"/>
                <w:lang w:val="en-US" w:eastAsia="zh-CN"/>
              </w:rPr>
              <w:t>4</w:t>
            </w:r>
          </w:p>
        </w:tc>
        <w:tc>
          <w:tcPr>
            <w:tcW w:w="1564" w:type="dxa"/>
            <w:tcMar>
              <w:top w:w="11" w:type="dxa"/>
              <w:left w:w="57" w:type="dxa"/>
              <w:bottom w:w="11" w:type="dxa"/>
              <w:right w:w="57" w:type="dxa"/>
            </w:tcMar>
            <w:vAlign w:val="center"/>
          </w:tcPr>
          <w:p w14:paraId="30B7E523">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破土动工</w:t>
            </w:r>
          </w:p>
          <w:p w14:paraId="3C7C6B04">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及竣工时间</w:t>
            </w:r>
          </w:p>
        </w:tc>
        <w:tc>
          <w:tcPr>
            <w:tcW w:w="6163" w:type="dxa"/>
            <w:tcBorders>
              <w:right w:val="nil"/>
            </w:tcBorders>
            <w:tcMar>
              <w:top w:w="11" w:type="dxa"/>
              <w:left w:w="57" w:type="dxa"/>
              <w:bottom w:w="11" w:type="dxa"/>
              <w:right w:w="57" w:type="dxa"/>
            </w:tcMar>
            <w:vAlign w:val="center"/>
          </w:tcPr>
          <w:p w14:paraId="68AD9A89">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w:t>
            </w:r>
            <w:r>
              <w:rPr>
                <w:rFonts w:hint="default" w:ascii="Times New Roman" w:hAnsi="Times New Roman" w:eastAsia="仿宋" w:cs="Times New Roman"/>
                <w:color w:val="000000"/>
                <w:sz w:val="21"/>
                <w:szCs w:val="21"/>
                <w:lang w:val="en-US" w:eastAsia="zh-CN"/>
              </w:rPr>
              <w:t>25</w:t>
            </w:r>
            <w:r>
              <w:rPr>
                <w:rFonts w:hint="default" w:ascii="Times New Roman" w:hAnsi="Times New Roman" w:eastAsia="仿宋" w:cs="Times New Roman"/>
                <w:color w:val="000000"/>
                <w:sz w:val="21"/>
                <w:szCs w:val="21"/>
              </w:rPr>
              <w:t>年</w:t>
            </w:r>
            <w:r>
              <w:rPr>
                <w:rFonts w:hint="default" w:ascii="Times New Roman" w:hAnsi="Times New Roman" w:eastAsia="仿宋" w:cs="Times New Roman"/>
                <w:color w:val="000000"/>
                <w:sz w:val="21"/>
                <w:szCs w:val="21"/>
                <w:lang w:val="en-US" w:eastAsia="zh-CN"/>
              </w:rPr>
              <w:t>3月</w:t>
            </w:r>
            <w:r>
              <w:rPr>
                <w:rFonts w:hint="default" w:ascii="Times New Roman" w:hAnsi="Times New Roman" w:eastAsia="仿宋" w:cs="Times New Roman"/>
                <w:color w:val="000000"/>
                <w:sz w:val="21"/>
                <w:szCs w:val="21"/>
              </w:rPr>
              <w:t>开工建设，20</w:t>
            </w:r>
            <w:r>
              <w:rPr>
                <w:rFonts w:hint="default" w:ascii="Times New Roman" w:hAnsi="Times New Roman" w:eastAsia="仿宋" w:cs="Times New Roman"/>
                <w:color w:val="000000"/>
                <w:sz w:val="21"/>
                <w:szCs w:val="21"/>
                <w:lang w:val="en-US" w:eastAsia="zh-CN"/>
              </w:rPr>
              <w:t>25</w:t>
            </w:r>
            <w:r>
              <w:rPr>
                <w:rFonts w:hint="default" w:ascii="Times New Roman" w:hAnsi="Times New Roman" w:eastAsia="仿宋" w:cs="Times New Roman"/>
                <w:color w:val="000000"/>
                <w:sz w:val="21"/>
                <w:szCs w:val="21"/>
              </w:rPr>
              <w:t>年</w:t>
            </w:r>
            <w:r>
              <w:rPr>
                <w:rFonts w:hint="default" w:ascii="Times New Roman" w:hAnsi="Times New Roman" w:eastAsia="仿宋" w:cs="Times New Roman"/>
                <w:color w:val="000000"/>
                <w:sz w:val="21"/>
                <w:szCs w:val="21"/>
                <w:lang w:val="en-US" w:eastAsia="zh-CN"/>
              </w:rPr>
              <w:t>6月</w:t>
            </w:r>
            <w:r>
              <w:rPr>
                <w:rFonts w:hint="default" w:ascii="Times New Roman" w:hAnsi="Times New Roman" w:eastAsia="仿宋" w:cs="Times New Roman"/>
                <w:color w:val="000000"/>
                <w:sz w:val="21"/>
                <w:szCs w:val="21"/>
              </w:rPr>
              <w:t>竣工。</w:t>
            </w:r>
          </w:p>
        </w:tc>
      </w:tr>
      <w:tr w14:paraId="71072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tcBorders>
              <w:left w:val="nil"/>
              <w:bottom w:val="single" w:color="auto" w:sz="12" w:space="0"/>
            </w:tcBorders>
            <w:tcMar>
              <w:top w:w="11" w:type="dxa"/>
              <w:left w:w="57" w:type="dxa"/>
              <w:bottom w:w="11" w:type="dxa"/>
              <w:right w:w="57" w:type="dxa"/>
            </w:tcMar>
            <w:vAlign w:val="center"/>
          </w:tcPr>
          <w:p w14:paraId="646F8482">
            <w:pPr>
              <w:spacing w:line="360" w:lineRule="exact"/>
              <w:ind w:firstLine="0" w:firstLineChars="0"/>
              <w:jc w:val="center"/>
              <w:rPr>
                <w:rFonts w:hint="default" w:ascii="Times New Roman" w:hAnsi="Times New Roman" w:eastAsia="仿宋" w:cs="Times New Roman"/>
                <w:color w:val="000000"/>
                <w:sz w:val="21"/>
                <w:szCs w:val="21"/>
                <w:lang w:eastAsia="zh-CN"/>
              </w:rPr>
            </w:pPr>
            <w:r>
              <w:rPr>
                <w:rFonts w:hint="default" w:ascii="Times New Roman" w:hAnsi="Times New Roman" w:eastAsia="仿宋" w:cs="Times New Roman"/>
                <w:color w:val="000000"/>
                <w:sz w:val="21"/>
                <w:szCs w:val="21"/>
                <w:lang w:val="en-US" w:eastAsia="zh-CN"/>
              </w:rPr>
              <w:t>5</w:t>
            </w:r>
          </w:p>
        </w:tc>
        <w:tc>
          <w:tcPr>
            <w:tcW w:w="1564" w:type="dxa"/>
            <w:tcBorders>
              <w:bottom w:val="single" w:color="auto" w:sz="12" w:space="0"/>
            </w:tcBorders>
            <w:tcMar>
              <w:top w:w="11" w:type="dxa"/>
              <w:left w:w="57" w:type="dxa"/>
              <w:bottom w:w="11" w:type="dxa"/>
              <w:right w:w="57" w:type="dxa"/>
            </w:tcMar>
            <w:vAlign w:val="center"/>
          </w:tcPr>
          <w:p w14:paraId="35FD0913">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环保设施调试起止时间</w:t>
            </w:r>
          </w:p>
        </w:tc>
        <w:tc>
          <w:tcPr>
            <w:tcW w:w="6163" w:type="dxa"/>
            <w:tcBorders>
              <w:bottom w:val="single" w:color="auto" w:sz="12" w:space="0"/>
              <w:right w:val="nil"/>
            </w:tcBorders>
            <w:tcMar>
              <w:top w:w="11" w:type="dxa"/>
              <w:left w:w="57" w:type="dxa"/>
              <w:bottom w:w="11" w:type="dxa"/>
              <w:right w:w="57" w:type="dxa"/>
            </w:tcMar>
            <w:vAlign w:val="center"/>
          </w:tcPr>
          <w:p w14:paraId="55977A5D">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202</w:t>
            </w:r>
            <w:r>
              <w:rPr>
                <w:rFonts w:hint="default" w:ascii="Times New Roman" w:hAnsi="Times New Roman" w:eastAsia="仿宋" w:cs="Times New Roman"/>
                <w:color w:val="000000"/>
                <w:sz w:val="21"/>
                <w:szCs w:val="21"/>
                <w:lang w:val="en-US" w:eastAsia="zh-CN"/>
              </w:rPr>
              <w:t>5</w:t>
            </w:r>
            <w:r>
              <w:rPr>
                <w:rFonts w:hint="default" w:ascii="Times New Roman" w:hAnsi="Times New Roman" w:eastAsia="仿宋" w:cs="Times New Roman"/>
                <w:color w:val="000000"/>
                <w:sz w:val="21"/>
                <w:szCs w:val="21"/>
              </w:rPr>
              <w:t>年6月1</w:t>
            </w:r>
            <w:r>
              <w:rPr>
                <w:rFonts w:hint="default" w:ascii="Times New Roman" w:hAnsi="Times New Roman" w:eastAsia="仿宋" w:cs="Times New Roman"/>
                <w:color w:val="000000"/>
                <w:sz w:val="21"/>
                <w:szCs w:val="21"/>
                <w:lang w:val="en-US" w:eastAsia="zh-CN"/>
              </w:rPr>
              <w:t>5</w:t>
            </w:r>
            <w:r>
              <w:rPr>
                <w:rFonts w:hint="default" w:ascii="Times New Roman" w:hAnsi="Times New Roman" w:eastAsia="仿宋" w:cs="Times New Roman"/>
                <w:color w:val="000000"/>
                <w:sz w:val="21"/>
                <w:szCs w:val="21"/>
              </w:rPr>
              <w:t>日至202</w:t>
            </w:r>
            <w:r>
              <w:rPr>
                <w:rFonts w:hint="default" w:ascii="Times New Roman" w:hAnsi="Times New Roman" w:eastAsia="仿宋" w:cs="Times New Roman"/>
                <w:color w:val="000000"/>
                <w:sz w:val="21"/>
                <w:szCs w:val="21"/>
                <w:lang w:val="en-US" w:eastAsia="zh-CN"/>
              </w:rPr>
              <w:t>6</w:t>
            </w:r>
            <w:r>
              <w:rPr>
                <w:rFonts w:hint="default" w:ascii="Times New Roman" w:hAnsi="Times New Roman" w:eastAsia="仿宋" w:cs="Times New Roman"/>
                <w:color w:val="000000"/>
                <w:sz w:val="21"/>
                <w:szCs w:val="21"/>
              </w:rPr>
              <w:t>年6月1</w:t>
            </w:r>
            <w:r>
              <w:rPr>
                <w:rFonts w:hint="default" w:ascii="Times New Roman" w:hAnsi="Times New Roman" w:eastAsia="仿宋" w:cs="Times New Roman"/>
                <w:color w:val="000000"/>
                <w:sz w:val="21"/>
                <w:szCs w:val="21"/>
                <w:lang w:val="en-US" w:eastAsia="zh-CN"/>
              </w:rPr>
              <w:t>4</w:t>
            </w:r>
            <w:r>
              <w:rPr>
                <w:rFonts w:hint="default" w:ascii="Times New Roman" w:hAnsi="Times New Roman" w:eastAsia="仿宋" w:cs="Times New Roman"/>
                <w:color w:val="000000"/>
                <w:sz w:val="21"/>
                <w:szCs w:val="21"/>
              </w:rPr>
              <w:t>日开展环保设施调试工作。</w:t>
            </w:r>
          </w:p>
        </w:tc>
      </w:tr>
    </w:tbl>
    <w:p w14:paraId="35674DFD">
      <w:pPr>
        <w:snapToGrid w:val="0"/>
        <w:spacing w:line="480" w:lineRule="exact"/>
        <w:ind w:firstLine="0" w:firstLineChars="0"/>
        <w:jc w:val="center"/>
        <w:rPr>
          <w:rFonts w:hint="default" w:ascii="Times New Roman" w:hAnsi="Times New Roman" w:cs="Times New Roman"/>
          <w:b/>
          <w:bCs/>
          <w:color w:val="000000"/>
        </w:rPr>
      </w:pPr>
      <w:r>
        <w:rPr>
          <w:rFonts w:hint="default" w:ascii="Times New Roman" w:hAnsi="Times New Roman" w:cs="Times New Roman"/>
          <w:b/>
          <w:bCs/>
          <w:color w:val="000000"/>
        </w:rPr>
        <w:t>表3.2-2  项目产品方案</w:t>
      </w:r>
    </w:p>
    <w:tbl>
      <w:tblPr>
        <w:tblStyle w:val="25"/>
        <w:tblW w:w="538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1856"/>
        <w:gridCol w:w="994"/>
        <w:gridCol w:w="994"/>
        <w:gridCol w:w="1704"/>
        <w:gridCol w:w="1718"/>
        <w:gridCol w:w="1259"/>
        <w:gridCol w:w="658"/>
      </w:tblGrid>
      <w:tr w14:paraId="42D7B94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7" w:hRule="atLeast"/>
          <w:jc w:val="center"/>
        </w:trPr>
        <w:tc>
          <w:tcPr>
            <w:tcW w:w="1010" w:type="pct"/>
            <w:vMerge w:val="restart"/>
            <w:vAlign w:val="center"/>
          </w:tcPr>
          <w:p w14:paraId="5237B518">
            <w:pPr>
              <w:widowControl w:val="0"/>
              <w:spacing w:line="360" w:lineRule="exact"/>
              <w:ind w:firstLine="0" w:firstLineChars="0"/>
              <w:jc w:val="center"/>
              <w:rPr>
                <w:rFonts w:hint="default" w:ascii="Times New Roman" w:hAnsi="Times New Roman" w:eastAsia="仿宋" w:cs="Times New Roman"/>
                <w:b/>
                <w:color w:val="000000"/>
                <w:kern w:val="2"/>
                <w:sz w:val="21"/>
                <w:szCs w:val="21"/>
              </w:rPr>
            </w:pPr>
            <w:r>
              <w:rPr>
                <w:rFonts w:hint="default" w:ascii="Times New Roman" w:hAnsi="Times New Roman" w:eastAsia="仿宋" w:cs="Times New Roman"/>
                <w:b/>
                <w:color w:val="000000"/>
                <w:sz w:val="21"/>
                <w:szCs w:val="21"/>
              </w:rPr>
              <w:t>产品名称</w:t>
            </w:r>
          </w:p>
        </w:tc>
        <w:tc>
          <w:tcPr>
            <w:tcW w:w="1082" w:type="pct"/>
            <w:gridSpan w:val="2"/>
            <w:vAlign w:val="center"/>
          </w:tcPr>
          <w:p w14:paraId="21932535">
            <w:pPr>
              <w:widowControl w:val="0"/>
              <w:spacing w:line="360" w:lineRule="exact"/>
              <w:ind w:firstLine="0" w:firstLineChars="0"/>
              <w:jc w:val="center"/>
              <w:rPr>
                <w:rFonts w:hint="default" w:ascii="Times New Roman" w:hAnsi="Times New Roman" w:eastAsia="仿宋" w:cs="Times New Roman"/>
                <w:b/>
                <w:color w:val="000000"/>
                <w:kern w:val="2"/>
                <w:sz w:val="21"/>
                <w:szCs w:val="21"/>
              </w:rPr>
            </w:pPr>
            <w:r>
              <w:rPr>
                <w:rFonts w:hint="default" w:ascii="Times New Roman" w:hAnsi="Times New Roman" w:eastAsia="仿宋" w:cs="Times New Roman"/>
                <w:b/>
                <w:color w:val="000000"/>
                <w:sz w:val="21"/>
                <w:szCs w:val="21"/>
              </w:rPr>
              <w:t>设计能力（t/a）</w:t>
            </w:r>
          </w:p>
        </w:tc>
        <w:tc>
          <w:tcPr>
            <w:tcW w:w="1862" w:type="pct"/>
            <w:gridSpan w:val="2"/>
            <w:vAlign w:val="center"/>
          </w:tcPr>
          <w:p w14:paraId="1153928A">
            <w:pPr>
              <w:widowControl w:val="0"/>
              <w:spacing w:line="360" w:lineRule="exact"/>
              <w:ind w:firstLine="0" w:firstLineChars="0"/>
              <w:jc w:val="center"/>
              <w:rPr>
                <w:rFonts w:hint="default" w:ascii="Times New Roman" w:hAnsi="Times New Roman" w:eastAsia="仿宋" w:cs="Times New Roman"/>
                <w:b/>
                <w:color w:val="000000"/>
                <w:kern w:val="2"/>
                <w:sz w:val="21"/>
                <w:szCs w:val="21"/>
                <w:lang w:val="en-US" w:eastAsia="zh-CN"/>
              </w:rPr>
            </w:pPr>
            <w:r>
              <w:rPr>
                <w:rFonts w:hint="default" w:ascii="Times New Roman" w:hAnsi="Times New Roman" w:eastAsia="仿宋" w:cs="Times New Roman"/>
                <w:b/>
                <w:color w:val="000000"/>
                <w:sz w:val="21"/>
                <w:szCs w:val="21"/>
                <w:lang w:val="en-US" w:eastAsia="zh-CN"/>
              </w:rPr>
              <w:t>生产效率</w:t>
            </w:r>
          </w:p>
        </w:tc>
        <w:tc>
          <w:tcPr>
            <w:tcW w:w="685" w:type="pct"/>
            <w:vMerge w:val="restart"/>
            <w:vAlign w:val="center"/>
          </w:tcPr>
          <w:p w14:paraId="1B4CC6C2">
            <w:pPr>
              <w:widowControl w:val="0"/>
              <w:spacing w:line="360" w:lineRule="exact"/>
              <w:ind w:firstLine="0" w:firstLineChars="0"/>
              <w:jc w:val="center"/>
              <w:rPr>
                <w:rFonts w:hint="default" w:ascii="Times New Roman" w:hAnsi="Times New Roman" w:eastAsia="仿宋" w:cs="Times New Roman"/>
                <w:b/>
                <w:color w:val="000000"/>
                <w:kern w:val="2"/>
                <w:sz w:val="21"/>
                <w:szCs w:val="21"/>
              </w:rPr>
            </w:pPr>
            <w:r>
              <w:rPr>
                <w:rFonts w:hint="default" w:ascii="Times New Roman" w:hAnsi="Times New Roman" w:eastAsia="仿宋" w:cs="Times New Roman"/>
                <w:b/>
                <w:color w:val="000000"/>
                <w:sz w:val="21"/>
                <w:szCs w:val="21"/>
              </w:rPr>
              <w:t>年运行时数(h/a)</w:t>
            </w:r>
          </w:p>
        </w:tc>
        <w:tc>
          <w:tcPr>
            <w:tcW w:w="358" w:type="pct"/>
            <w:vMerge w:val="restart"/>
            <w:vAlign w:val="center"/>
          </w:tcPr>
          <w:p w14:paraId="73E3E723">
            <w:pPr>
              <w:widowControl w:val="0"/>
              <w:spacing w:line="360" w:lineRule="exact"/>
              <w:ind w:firstLine="0" w:firstLineChars="0"/>
              <w:jc w:val="center"/>
              <w:rPr>
                <w:rFonts w:hint="default" w:ascii="Times New Roman" w:hAnsi="Times New Roman" w:eastAsia="仿宋" w:cs="Times New Roman"/>
                <w:b/>
                <w:color w:val="000000"/>
                <w:kern w:val="2"/>
                <w:sz w:val="21"/>
                <w:szCs w:val="21"/>
              </w:rPr>
            </w:pPr>
            <w:r>
              <w:rPr>
                <w:rFonts w:hint="default" w:ascii="Times New Roman" w:hAnsi="Times New Roman" w:eastAsia="仿宋" w:cs="Times New Roman"/>
                <w:b/>
                <w:color w:val="000000"/>
                <w:sz w:val="21"/>
                <w:szCs w:val="21"/>
              </w:rPr>
              <w:t>生产工况</w:t>
            </w:r>
          </w:p>
        </w:tc>
      </w:tr>
      <w:tr w14:paraId="4FF59F4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010" w:type="pct"/>
            <w:vMerge w:val="continue"/>
            <w:vAlign w:val="center"/>
          </w:tcPr>
          <w:p w14:paraId="0ACEAC15">
            <w:pPr>
              <w:spacing w:line="360" w:lineRule="exact"/>
              <w:ind w:firstLine="0" w:firstLineChars="0"/>
              <w:rPr>
                <w:rFonts w:hint="default" w:ascii="Times New Roman" w:hAnsi="Times New Roman" w:eastAsia="仿宋" w:cs="Times New Roman"/>
                <w:b/>
                <w:color w:val="000000"/>
                <w:kern w:val="2"/>
                <w:sz w:val="21"/>
                <w:szCs w:val="21"/>
              </w:rPr>
            </w:pPr>
          </w:p>
        </w:tc>
        <w:tc>
          <w:tcPr>
            <w:tcW w:w="541" w:type="pct"/>
            <w:vAlign w:val="center"/>
          </w:tcPr>
          <w:p w14:paraId="7A2E7996">
            <w:pPr>
              <w:widowControl w:val="0"/>
              <w:spacing w:line="360" w:lineRule="exact"/>
              <w:ind w:firstLine="0" w:firstLineChars="0"/>
              <w:jc w:val="center"/>
              <w:rPr>
                <w:rFonts w:hint="default" w:ascii="Times New Roman" w:hAnsi="Times New Roman" w:eastAsia="仿宋" w:cs="Times New Roman"/>
                <w:b/>
                <w:color w:val="000000"/>
                <w:kern w:val="2"/>
                <w:sz w:val="21"/>
                <w:szCs w:val="21"/>
              </w:rPr>
            </w:pPr>
            <w:r>
              <w:rPr>
                <w:rFonts w:hint="default" w:ascii="Times New Roman" w:hAnsi="Times New Roman" w:eastAsia="仿宋" w:cs="Times New Roman"/>
                <w:b/>
                <w:color w:val="000000"/>
                <w:sz w:val="21"/>
                <w:szCs w:val="21"/>
              </w:rPr>
              <w:t>原环评</w:t>
            </w:r>
          </w:p>
        </w:tc>
        <w:tc>
          <w:tcPr>
            <w:tcW w:w="541" w:type="pct"/>
            <w:vAlign w:val="center"/>
          </w:tcPr>
          <w:p w14:paraId="4A7F7DEB">
            <w:pPr>
              <w:widowControl w:val="0"/>
              <w:spacing w:line="360" w:lineRule="exact"/>
              <w:ind w:firstLine="0" w:firstLineChars="0"/>
              <w:jc w:val="center"/>
              <w:rPr>
                <w:rFonts w:hint="default" w:ascii="Times New Roman" w:hAnsi="Times New Roman" w:eastAsia="仿宋" w:cs="Times New Roman"/>
                <w:b/>
                <w:color w:val="000000"/>
                <w:kern w:val="2"/>
                <w:sz w:val="21"/>
                <w:szCs w:val="21"/>
              </w:rPr>
            </w:pPr>
            <w:r>
              <w:rPr>
                <w:rFonts w:hint="default" w:ascii="Times New Roman" w:hAnsi="Times New Roman" w:eastAsia="仿宋" w:cs="Times New Roman"/>
                <w:b/>
                <w:color w:val="000000"/>
                <w:sz w:val="21"/>
                <w:szCs w:val="21"/>
              </w:rPr>
              <w:t>实际</w:t>
            </w:r>
          </w:p>
        </w:tc>
        <w:tc>
          <w:tcPr>
            <w:tcW w:w="927" w:type="pct"/>
            <w:vAlign w:val="center"/>
          </w:tcPr>
          <w:p w14:paraId="1E4A2AE9">
            <w:pPr>
              <w:widowControl w:val="0"/>
              <w:spacing w:line="360" w:lineRule="exact"/>
              <w:ind w:firstLine="0" w:firstLineChars="0"/>
              <w:jc w:val="center"/>
              <w:rPr>
                <w:rFonts w:hint="default" w:ascii="Times New Roman" w:hAnsi="Times New Roman" w:eastAsia="仿宋" w:cs="Times New Roman"/>
                <w:b/>
                <w:color w:val="000000"/>
                <w:kern w:val="2"/>
                <w:sz w:val="21"/>
                <w:szCs w:val="21"/>
              </w:rPr>
            </w:pPr>
            <w:r>
              <w:rPr>
                <w:rFonts w:hint="default" w:ascii="Times New Roman" w:hAnsi="Times New Roman" w:eastAsia="仿宋" w:cs="Times New Roman"/>
                <w:b/>
                <w:color w:val="000000"/>
                <w:sz w:val="21"/>
                <w:szCs w:val="21"/>
              </w:rPr>
              <w:t>原环评</w:t>
            </w:r>
          </w:p>
        </w:tc>
        <w:tc>
          <w:tcPr>
            <w:tcW w:w="935" w:type="pct"/>
            <w:vAlign w:val="center"/>
          </w:tcPr>
          <w:p w14:paraId="3297DE8A">
            <w:pPr>
              <w:widowControl w:val="0"/>
              <w:spacing w:line="360" w:lineRule="exact"/>
              <w:ind w:firstLine="0" w:firstLineChars="0"/>
              <w:jc w:val="center"/>
              <w:rPr>
                <w:rFonts w:hint="default" w:ascii="Times New Roman" w:hAnsi="Times New Roman" w:eastAsia="仿宋" w:cs="Times New Roman"/>
                <w:b/>
                <w:color w:val="000000"/>
                <w:kern w:val="2"/>
                <w:sz w:val="21"/>
                <w:szCs w:val="21"/>
              </w:rPr>
            </w:pPr>
            <w:r>
              <w:rPr>
                <w:rFonts w:hint="default" w:ascii="Times New Roman" w:hAnsi="Times New Roman" w:eastAsia="仿宋" w:cs="Times New Roman"/>
                <w:b/>
                <w:color w:val="000000"/>
                <w:sz w:val="21"/>
                <w:szCs w:val="21"/>
              </w:rPr>
              <w:t>实际</w:t>
            </w:r>
          </w:p>
        </w:tc>
        <w:tc>
          <w:tcPr>
            <w:tcW w:w="685" w:type="pct"/>
            <w:vMerge w:val="continue"/>
            <w:vAlign w:val="center"/>
          </w:tcPr>
          <w:p w14:paraId="6E7DCAAF">
            <w:pPr>
              <w:spacing w:line="360" w:lineRule="exact"/>
              <w:ind w:firstLine="0" w:firstLineChars="0"/>
              <w:rPr>
                <w:rFonts w:hint="default" w:ascii="Times New Roman" w:hAnsi="Times New Roman" w:eastAsia="仿宋" w:cs="Times New Roman"/>
                <w:b/>
                <w:color w:val="000000"/>
                <w:kern w:val="2"/>
                <w:sz w:val="21"/>
                <w:szCs w:val="21"/>
              </w:rPr>
            </w:pPr>
          </w:p>
        </w:tc>
        <w:tc>
          <w:tcPr>
            <w:tcW w:w="358" w:type="pct"/>
            <w:vMerge w:val="continue"/>
            <w:vAlign w:val="center"/>
          </w:tcPr>
          <w:p w14:paraId="26FF8A28">
            <w:pPr>
              <w:spacing w:line="360" w:lineRule="exact"/>
              <w:ind w:firstLine="0" w:firstLineChars="0"/>
              <w:rPr>
                <w:rFonts w:hint="default" w:ascii="Times New Roman" w:hAnsi="Times New Roman" w:eastAsia="仿宋" w:cs="Times New Roman"/>
                <w:b/>
                <w:color w:val="000000"/>
                <w:kern w:val="2"/>
                <w:sz w:val="21"/>
                <w:szCs w:val="21"/>
              </w:rPr>
            </w:pPr>
          </w:p>
        </w:tc>
      </w:tr>
      <w:tr w14:paraId="1E72036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010" w:type="pct"/>
            <w:vAlign w:val="center"/>
          </w:tcPr>
          <w:p w14:paraId="541B4A95">
            <w:pPr>
              <w:widowControl w:val="0"/>
              <w:spacing w:line="360" w:lineRule="exact"/>
              <w:ind w:firstLine="0" w:firstLineChars="0"/>
              <w:jc w:val="center"/>
              <w:rPr>
                <w:rFonts w:hint="default" w:ascii="Times New Roman" w:hAnsi="Times New Roman" w:eastAsia="仿宋" w:cs="Times New Roman"/>
                <w:bCs/>
                <w:color w:val="000000"/>
                <w:kern w:val="2"/>
                <w:sz w:val="21"/>
                <w:szCs w:val="21"/>
              </w:rPr>
            </w:pPr>
            <w:r>
              <w:rPr>
                <w:rFonts w:hint="default" w:ascii="Times New Roman" w:hAnsi="Times New Roman" w:eastAsia="仿宋" w:cs="Times New Roman"/>
                <w:color w:val="000000"/>
                <w:sz w:val="21"/>
                <w:szCs w:val="21"/>
                <w:lang w:eastAsia="zh-CN"/>
              </w:rPr>
              <w:t>超高分子量聚乙烯纤维</w:t>
            </w:r>
          </w:p>
        </w:tc>
        <w:tc>
          <w:tcPr>
            <w:tcW w:w="541" w:type="pct"/>
            <w:vAlign w:val="center"/>
          </w:tcPr>
          <w:p w14:paraId="3FB0E7DE">
            <w:pPr>
              <w:widowControl w:val="0"/>
              <w:spacing w:line="360" w:lineRule="exact"/>
              <w:ind w:firstLine="0" w:firstLineChars="0"/>
              <w:jc w:val="center"/>
              <w:rPr>
                <w:rFonts w:hint="default" w:ascii="Times New Roman" w:hAnsi="Times New Roman" w:eastAsia="仿宋" w:cs="Times New Roman"/>
                <w:color w:val="000000"/>
                <w:kern w:val="2"/>
                <w:sz w:val="21"/>
                <w:szCs w:val="21"/>
                <w:lang w:val="en-US" w:eastAsia="zh-CN"/>
              </w:rPr>
            </w:pPr>
            <w:r>
              <w:rPr>
                <w:rFonts w:hint="default" w:ascii="Times New Roman" w:hAnsi="Times New Roman" w:eastAsia="仿宋" w:cs="Times New Roman"/>
                <w:color w:val="000000"/>
                <w:sz w:val="21"/>
                <w:szCs w:val="21"/>
                <w:lang w:val="en-US" w:eastAsia="zh-CN"/>
              </w:rPr>
              <w:t>2784</w:t>
            </w:r>
          </w:p>
        </w:tc>
        <w:tc>
          <w:tcPr>
            <w:tcW w:w="541" w:type="pct"/>
            <w:vAlign w:val="center"/>
          </w:tcPr>
          <w:p w14:paraId="3EA4F10F">
            <w:pPr>
              <w:widowControl w:val="0"/>
              <w:spacing w:line="360" w:lineRule="exact"/>
              <w:ind w:firstLine="0" w:firstLineChars="0"/>
              <w:jc w:val="center"/>
              <w:rPr>
                <w:rFonts w:hint="default" w:ascii="Times New Roman" w:hAnsi="Times New Roman" w:eastAsia="仿宋" w:cs="Times New Roman"/>
                <w:color w:val="000000"/>
                <w:kern w:val="2"/>
                <w:sz w:val="21"/>
                <w:szCs w:val="21"/>
                <w:lang w:val="en-US" w:eastAsia="zh-CN"/>
              </w:rPr>
            </w:pPr>
            <w:r>
              <w:rPr>
                <w:rFonts w:hint="default" w:ascii="Times New Roman" w:hAnsi="Times New Roman" w:eastAsia="仿宋" w:cs="Times New Roman"/>
                <w:color w:val="000000"/>
                <w:sz w:val="21"/>
                <w:szCs w:val="21"/>
                <w:lang w:val="en-US" w:eastAsia="zh-CN"/>
              </w:rPr>
              <w:t>2784</w:t>
            </w:r>
          </w:p>
        </w:tc>
        <w:tc>
          <w:tcPr>
            <w:tcW w:w="927" w:type="pct"/>
            <w:vAlign w:val="center"/>
          </w:tcPr>
          <w:p w14:paraId="6E631490">
            <w:pPr>
              <w:widowControl w:val="0"/>
              <w:spacing w:line="360" w:lineRule="exact"/>
              <w:ind w:firstLine="0" w:firstLineChars="0"/>
              <w:jc w:val="center"/>
              <w:rPr>
                <w:rFonts w:hint="default" w:ascii="Times New Roman" w:hAnsi="Times New Roman" w:eastAsia="仿宋" w:cs="Times New Roman"/>
                <w:color w:val="000000"/>
                <w:kern w:val="2"/>
                <w:sz w:val="21"/>
                <w:szCs w:val="21"/>
                <w:lang w:eastAsia="zh-CN"/>
              </w:rPr>
            </w:pPr>
            <w:r>
              <w:rPr>
                <w:rFonts w:hint="default" w:ascii="Times New Roman" w:hAnsi="Times New Roman" w:eastAsia="仿宋" w:cs="Times New Roman"/>
                <w:color w:val="000000"/>
                <w:sz w:val="21"/>
                <w:szCs w:val="21"/>
                <w:lang w:val="en-US" w:eastAsia="zh-CN"/>
              </w:rPr>
              <w:t>110</w:t>
            </w:r>
            <w:r>
              <w:rPr>
                <w:rFonts w:hint="default" w:ascii="Times New Roman" w:hAnsi="Times New Roman" w:eastAsia="仿宋" w:cs="Times New Roman"/>
                <w:color w:val="000000"/>
                <w:sz w:val="21"/>
                <w:szCs w:val="21"/>
              </w:rPr>
              <w:t>kg/</w:t>
            </w:r>
            <w:r>
              <w:rPr>
                <w:rFonts w:hint="default" w:ascii="Times New Roman" w:hAnsi="Times New Roman" w:eastAsia="仿宋" w:cs="Times New Roman"/>
                <w:color w:val="000000"/>
                <w:sz w:val="21"/>
                <w:szCs w:val="21"/>
                <w:lang w:val="en-US" w:eastAsia="zh-CN"/>
              </w:rPr>
              <w:t>h</w:t>
            </w:r>
          </w:p>
        </w:tc>
        <w:tc>
          <w:tcPr>
            <w:tcW w:w="935" w:type="pct"/>
            <w:vAlign w:val="center"/>
          </w:tcPr>
          <w:p w14:paraId="312CAE15">
            <w:pPr>
              <w:widowControl w:val="0"/>
              <w:spacing w:line="360" w:lineRule="exact"/>
              <w:ind w:firstLine="0" w:firstLineChars="0"/>
              <w:jc w:val="center"/>
              <w:rPr>
                <w:rFonts w:hint="default" w:ascii="Times New Roman" w:hAnsi="Times New Roman" w:eastAsia="仿宋" w:cs="Times New Roman"/>
                <w:color w:val="000000"/>
                <w:kern w:val="2"/>
                <w:sz w:val="21"/>
                <w:szCs w:val="21"/>
              </w:rPr>
            </w:pPr>
            <w:r>
              <w:rPr>
                <w:rFonts w:hint="default" w:ascii="Times New Roman" w:hAnsi="Times New Roman" w:eastAsia="仿宋" w:cs="Times New Roman"/>
                <w:color w:val="000000"/>
                <w:sz w:val="21"/>
                <w:szCs w:val="21"/>
                <w:lang w:val="en-US" w:eastAsia="zh-CN"/>
              </w:rPr>
              <w:t>110</w:t>
            </w:r>
            <w:r>
              <w:rPr>
                <w:rFonts w:hint="default" w:ascii="Times New Roman" w:hAnsi="Times New Roman" w:eastAsia="仿宋" w:cs="Times New Roman"/>
                <w:color w:val="000000"/>
                <w:sz w:val="21"/>
                <w:szCs w:val="21"/>
              </w:rPr>
              <w:t>kg/</w:t>
            </w:r>
            <w:r>
              <w:rPr>
                <w:rFonts w:hint="default" w:ascii="Times New Roman" w:hAnsi="Times New Roman" w:eastAsia="仿宋" w:cs="Times New Roman"/>
                <w:color w:val="000000"/>
                <w:sz w:val="21"/>
                <w:szCs w:val="21"/>
                <w:lang w:val="en-US" w:eastAsia="zh-CN"/>
              </w:rPr>
              <w:t>h</w:t>
            </w:r>
          </w:p>
        </w:tc>
        <w:tc>
          <w:tcPr>
            <w:tcW w:w="685" w:type="pct"/>
            <w:vAlign w:val="center"/>
          </w:tcPr>
          <w:p w14:paraId="5938D25B">
            <w:pPr>
              <w:widowControl w:val="0"/>
              <w:spacing w:line="360" w:lineRule="exact"/>
              <w:ind w:firstLine="0" w:firstLineChars="0"/>
              <w:jc w:val="center"/>
              <w:rPr>
                <w:rFonts w:hint="default" w:ascii="Times New Roman" w:hAnsi="Times New Roman" w:eastAsia="仿宋" w:cs="Times New Roman"/>
                <w:color w:val="000000"/>
                <w:kern w:val="2"/>
                <w:sz w:val="21"/>
                <w:szCs w:val="21"/>
                <w:lang w:val="en-US" w:eastAsia="zh-CN"/>
              </w:rPr>
            </w:pPr>
            <w:r>
              <w:rPr>
                <w:rFonts w:hint="default" w:ascii="Times New Roman" w:hAnsi="Times New Roman" w:eastAsia="仿宋" w:cs="Times New Roman"/>
                <w:color w:val="000000"/>
                <w:sz w:val="21"/>
                <w:szCs w:val="21"/>
                <w:lang w:val="en-US" w:eastAsia="zh-CN"/>
              </w:rPr>
              <w:t>7200</w:t>
            </w:r>
          </w:p>
        </w:tc>
        <w:tc>
          <w:tcPr>
            <w:tcW w:w="358" w:type="pct"/>
            <w:vAlign w:val="center"/>
          </w:tcPr>
          <w:p w14:paraId="7753C358">
            <w:pPr>
              <w:widowControl w:val="0"/>
              <w:spacing w:line="360" w:lineRule="exact"/>
              <w:ind w:firstLine="0" w:firstLineChars="0"/>
              <w:jc w:val="center"/>
              <w:rPr>
                <w:rFonts w:hint="default" w:ascii="Times New Roman" w:hAnsi="Times New Roman" w:eastAsia="仿宋" w:cs="Times New Roman"/>
                <w:color w:val="000000"/>
                <w:kern w:val="2"/>
                <w:sz w:val="21"/>
                <w:szCs w:val="21"/>
              </w:rPr>
            </w:pPr>
            <w:r>
              <w:rPr>
                <w:rFonts w:hint="default" w:ascii="Times New Roman" w:hAnsi="Times New Roman" w:eastAsia="仿宋" w:cs="Times New Roman"/>
                <w:color w:val="000000"/>
                <w:sz w:val="21"/>
                <w:szCs w:val="21"/>
              </w:rPr>
              <w:t>间歇</w:t>
            </w:r>
          </w:p>
        </w:tc>
      </w:tr>
    </w:tbl>
    <w:p w14:paraId="14CAAD64">
      <w:pPr>
        <w:spacing w:line="480" w:lineRule="exact"/>
        <w:ind w:firstLine="560"/>
        <w:rPr>
          <w:rFonts w:hint="default" w:ascii="Times New Roman" w:hAnsi="Times New Roman" w:eastAsia="仿宋" w:cs="Times New Roman"/>
        </w:rPr>
      </w:pPr>
      <w:r>
        <w:rPr>
          <w:rFonts w:hint="default" w:ascii="Times New Roman" w:hAnsi="Times New Roman" w:eastAsia="仿宋" w:cs="Times New Roman"/>
          <w:color w:val="000000"/>
        </w:rPr>
        <w:t>2、</w:t>
      </w:r>
      <w:r>
        <w:rPr>
          <w:rFonts w:hint="default" w:ascii="Times New Roman" w:hAnsi="Times New Roman" w:eastAsia="仿宋" w:cs="Times New Roman"/>
        </w:rPr>
        <w:t>公用及辅助工程</w:t>
      </w:r>
    </w:p>
    <w:p w14:paraId="46D3FFD7">
      <w:pPr>
        <w:pStyle w:val="10"/>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sz w:val="28"/>
          <w:szCs w:val="28"/>
        </w:rPr>
        <w:t>本项目涉及的公用、辅助工程部分依托原有。主要公用及辅助工程建设情况见表3.2-3。</w:t>
      </w:r>
    </w:p>
    <w:p w14:paraId="44A8CC59">
      <w:pPr>
        <w:spacing w:line="480" w:lineRule="exact"/>
        <w:ind w:firstLine="560"/>
        <w:rPr>
          <w:rFonts w:hint="default" w:ascii="Times New Roman" w:hAnsi="Times New Roman" w:eastAsia="仿宋" w:cs="Times New Roman"/>
          <w:color w:val="000000"/>
        </w:rPr>
        <w:sectPr>
          <w:pgSz w:w="11906" w:h="16838"/>
          <w:pgMar w:top="1440" w:right="1800" w:bottom="1440" w:left="1800" w:header="851" w:footer="992" w:gutter="0"/>
          <w:cols w:space="425" w:num="1"/>
          <w:docGrid w:type="lines" w:linePitch="381" w:charSpace="0"/>
        </w:sectPr>
      </w:pPr>
      <w:r>
        <w:rPr>
          <w:rFonts w:hint="default" w:ascii="Times New Roman" w:hAnsi="Times New Roman" w:eastAsia="仿宋" w:cs="Times New Roman"/>
          <w:color w:val="000000"/>
        </w:rPr>
        <w:t>涉密删除。</w:t>
      </w:r>
    </w:p>
    <w:p w14:paraId="03E111CD">
      <w:pPr>
        <w:pStyle w:val="3"/>
        <w:spacing w:before="156" w:after="156"/>
        <w:ind w:firstLine="0" w:firstLineChars="0"/>
        <w:rPr>
          <w:rFonts w:hint="default" w:ascii="Times New Roman" w:hAnsi="Times New Roman" w:cs="Times New Roman"/>
          <w:color w:val="000000"/>
        </w:rPr>
      </w:pPr>
      <w:bookmarkStart w:id="29" w:name="_Toc5204527"/>
      <w:bookmarkStart w:id="30" w:name="_Toc520410239"/>
      <w:bookmarkStart w:id="31" w:name="_Toc32712"/>
      <w:r>
        <w:rPr>
          <w:rFonts w:hint="default" w:ascii="Times New Roman" w:hAnsi="Times New Roman" w:cs="Times New Roman"/>
          <w:color w:val="000000"/>
        </w:rPr>
        <w:t>3.3 主要原辅材料、燃料</w:t>
      </w:r>
      <w:bookmarkEnd w:id="29"/>
      <w:bookmarkEnd w:id="30"/>
      <w:r>
        <w:rPr>
          <w:rFonts w:hint="default" w:ascii="Times New Roman" w:hAnsi="Times New Roman" w:cs="Times New Roman"/>
          <w:color w:val="000000"/>
        </w:rPr>
        <w:t>及水平衡</w:t>
      </w:r>
      <w:bookmarkEnd w:id="31"/>
    </w:p>
    <w:p w14:paraId="635CA05B">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超高分子量聚乙烯纤维主要原辅材料未发生变动</w:t>
      </w:r>
      <w:r>
        <w:rPr>
          <w:rFonts w:hint="default" w:ascii="Times New Roman" w:hAnsi="Times New Roman" w:eastAsia="仿宋" w:cs="Times New Roman"/>
          <w:color w:val="000000"/>
          <w:lang w:eastAsia="zh-CN"/>
        </w:rPr>
        <w:t>，</w:t>
      </w:r>
      <w:r>
        <w:rPr>
          <w:rFonts w:hint="default" w:ascii="Times New Roman" w:hAnsi="Times New Roman" w:eastAsia="仿宋" w:cs="Times New Roman"/>
          <w:color w:val="000000"/>
        </w:rPr>
        <w:t>具体见表3.3-1。</w:t>
      </w:r>
    </w:p>
    <w:p w14:paraId="285E4303">
      <w:pPr>
        <w:bidi w:val="0"/>
        <w:rPr>
          <w:rFonts w:hint="default" w:ascii="Times New Roman" w:hAnsi="Times New Roman" w:eastAsia="仿宋" w:cs="Times New Roman"/>
          <w:b/>
          <w:bCs/>
          <w:kern w:val="2"/>
          <w:sz w:val="28"/>
          <w:szCs w:val="28"/>
          <w:lang w:val="en-US" w:eastAsia="zh-CN" w:bidi="ar-SA"/>
        </w:rPr>
      </w:pPr>
      <w:bookmarkStart w:id="32" w:name="_Toc727"/>
      <w:r>
        <w:rPr>
          <w:rFonts w:hint="eastAsia" w:eastAsia="仿宋" w:cs="Times New Roman"/>
          <w:b/>
          <w:bCs/>
          <w:kern w:val="2"/>
          <w:sz w:val="28"/>
          <w:szCs w:val="28"/>
          <w:lang w:val="en-US" w:eastAsia="zh-CN" w:bidi="ar-SA"/>
        </w:rPr>
        <w:t>涉密删除</w:t>
      </w:r>
      <w:r>
        <w:rPr>
          <w:rFonts w:hint="default" w:ascii="Times New Roman" w:hAnsi="Times New Roman" w:eastAsia="仿宋" w:cs="Times New Roman"/>
          <w:b/>
          <w:bCs/>
          <w:kern w:val="2"/>
          <w:sz w:val="28"/>
          <w:szCs w:val="28"/>
          <w:lang w:val="en-US" w:eastAsia="zh-CN" w:bidi="ar-SA"/>
        </w:rPr>
        <w:t>。</w:t>
      </w:r>
      <w:bookmarkEnd w:id="32"/>
    </w:p>
    <w:p w14:paraId="4A700050">
      <w:pPr>
        <w:pStyle w:val="3"/>
        <w:spacing w:before="156" w:after="156"/>
        <w:ind w:firstLine="0" w:firstLineChars="0"/>
        <w:rPr>
          <w:rFonts w:hint="default" w:ascii="Times New Roman" w:hAnsi="Times New Roman" w:cs="Times New Roman"/>
          <w:color w:val="000000"/>
        </w:rPr>
      </w:pPr>
      <w:bookmarkStart w:id="33" w:name="_Toc17918"/>
      <w:bookmarkStart w:id="34" w:name="_Toc5204528"/>
      <w:bookmarkStart w:id="35" w:name="_Toc520410240"/>
      <w:r>
        <w:rPr>
          <w:rFonts w:hint="default" w:ascii="Times New Roman" w:hAnsi="Times New Roman" w:cs="Times New Roman"/>
          <w:color w:val="000000"/>
        </w:rPr>
        <w:t>3.4 生产工艺</w:t>
      </w:r>
      <w:bookmarkEnd w:id="33"/>
      <w:bookmarkEnd w:id="34"/>
      <w:bookmarkEnd w:id="35"/>
    </w:p>
    <w:p w14:paraId="3C3B6452">
      <w:pPr>
        <w:bidi w:val="0"/>
        <w:rPr>
          <w:rFonts w:hint="default" w:ascii="Times New Roman" w:hAnsi="Times New Roman" w:eastAsia="仿宋" w:cs="Times New Roman"/>
          <w:b/>
          <w:bCs/>
          <w:kern w:val="2"/>
          <w:sz w:val="28"/>
          <w:szCs w:val="28"/>
          <w:lang w:val="en-US" w:eastAsia="zh-CN" w:bidi="ar-SA"/>
        </w:rPr>
      </w:pPr>
      <w:bookmarkStart w:id="36" w:name="_Toc2297"/>
      <w:r>
        <w:rPr>
          <w:rFonts w:hint="eastAsia" w:eastAsia="仿宋" w:cs="Times New Roman"/>
          <w:b/>
          <w:bCs/>
          <w:kern w:val="2"/>
          <w:sz w:val="28"/>
          <w:szCs w:val="28"/>
          <w:lang w:val="en-US" w:eastAsia="zh-CN" w:bidi="ar-SA"/>
        </w:rPr>
        <w:t>涉密删除</w:t>
      </w:r>
      <w:r>
        <w:rPr>
          <w:rFonts w:hint="default" w:ascii="Times New Roman" w:hAnsi="Times New Roman" w:eastAsia="仿宋" w:cs="Times New Roman"/>
          <w:b/>
          <w:bCs/>
          <w:kern w:val="2"/>
          <w:sz w:val="28"/>
          <w:szCs w:val="28"/>
          <w:lang w:val="en-US" w:eastAsia="zh-CN" w:bidi="ar-SA"/>
        </w:rPr>
        <w:t>。</w:t>
      </w:r>
    </w:p>
    <w:p w14:paraId="6156FF98">
      <w:pPr>
        <w:pStyle w:val="3"/>
        <w:spacing w:before="156" w:after="156"/>
        <w:ind w:firstLine="0" w:firstLineChars="0"/>
        <w:rPr>
          <w:rFonts w:hint="default" w:ascii="Times New Roman" w:hAnsi="Times New Roman" w:cs="Times New Roman"/>
          <w:color w:val="000000"/>
        </w:rPr>
      </w:pPr>
      <w:r>
        <w:rPr>
          <w:rFonts w:hint="default" w:ascii="Times New Roman" w:hAnsi="Times New Roman" w:cs="Times New Roman"/>
          <w:color w:val="000000"/>
        </w:rPr>
        <w:t>3.5 主要生产设备</w:t>
      </w:r>
      <w:bookmarkEnd w:id="36"/>
    </w:p>
    <w:p w14:paraId="795DDA3D">
      <w:pPr>
        <w:bidi w:val="0"/>
        <w:rPr>
          <w:rFonts w:hint="default" w:ascii="Times New Roman" w:hAnsi="Times New Roman" w:eastAsia="仿宋" w:cs="Times New Roman"/>
          <w:b/>
          <w:bCs/>
          <w:kern w:val="2"/>
          <w:sz w:val="28"/>
          <w:szCs w:val="28"/>
          <w:lang w:val="en-US" w:eastAsia="zh-CN" w:bidi="ar-SA"/>
        </w:rPr>
      </w:pPr>
      <w:bookmarkStart w:id="37" w:name="_Toc5204530"/>
      <w:bookmarkStart w:id="38" w:name="_Toc520410242"/>
      <w:bookmarkStart w:id="39" w:name="_Toc31140"/>
      <w:r>
        <w:rPr>
          <w:rFonts w:hint="eastAsia" w:eastAsia="仿宋" w:cs="Times New Roman"/>
          <w:b/>
          <w:bCs/>
          <w:kern w:val="2"/>
          <w:sz w:val="28"/>
          <w:szCs w:val="28"/>
          <w:lang w:val="en-US" w:eastAsia="zh-CN" w:bidi="ar-SA"/>
        </w:rPr>
        <w:t>涉密删除</w:t>
      </w:r>
      <w:r>
        <w:rPr>
          <w:rFonts w:hint="default" w:ascii="Times New Roman" w:hAnsi="Times New Roman" w:eastAsia="仿宋" w:cs="Times New Roman"/>
          <w:b/>
          <w:bCs/>
          <w:kern w:val="2"/>
          <w:sz w:val="28"/>
          <w:szCs w:val="28"/>
          <w:lang w:val="en-US" w:eastAsia="zh-CN" w:bidi="ar-SA"/>
        </w:rPr>
        <w:t>。</w:t>
      </w:r>
    </w:p>
    <w:p w14:paraId="3DBE5097">
      <w:pPr>
        <w:pStyle w:val="3"/>
        <w:spacing w:beforeLines="50" w:after="0" w:line="480" w:lineRule="auto"/>
        <w:ind w:firstLine="0" w:firstLineChars="0"/>
        <w:rPr>
          <w:rFonts w:hint="default" w:ascii="Times New Roman" w:hAnsi="Times New Roman" w:cs="Times New Roman"/>
          <w:color w:val="000000"/>
        </w:rPr>
      </w:pPr>
      <w:r>
        <w:rPr>
          <w:rFonts w:hint="default" w:ascii="Times New Roman" w:hAnsi="Times New Roman" w:cs="Times New Roman"/>
          <w:color w:val="000000"/>
        </w:rPr>
        <w:t>3.6 项目变动情况</w:t>
      </w:r>
      <w:bookmarkEnd w:id="37"/>
      <w:bookmarkEnd w:id="38"/>
      <w:bookmarkEnd w:id="39"/>
    </w:p>
    <w:p w14:paraId="260148EC">
      <w:pPr>
        <w:pStyle w:val="10"/>
        <w:ind w:firstLine="56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本次验收项目</w:t>
      </w:r>
      <w:r>
        <w:rPr>
          <w:rFonts w:hint="default" w:ascii="Times New Roman" w:hAnsi="Times New Roman" w:eastAsia="仿宋" w:cs="Times New Roman"/>
          <w:sz w:val="28"/>
          <w:szCs w:val="28"/>
        </w:rPr>
        <w:t>变动主要</w:t>
      </w:r>
      <w:r>
        <w:rPr>
          <w:rFonts w:hint="default" w:ascii="Times New Roman" w:hAnsi="Times New Roman" w:eastAsia="仿宋" w:cs="Times New Roman"/>
          <w:sz w:val="28"/>
          <w:szCs w:val="28"/>
          <w:lang w:val="en-US" w:eastAsia="zh-CN"/>
        </w:rPr>
        <w:t>为废气合并排放，具体为车间五萃取、干燥逸散、一级牵伸逸散工段产生的</w:t>
      </w:r>
      <w:r>
        <w:rPr>
          <w:rFonts w:hint="eastAsia" w:ascii="Times New Roman" w:hAnsi="Times New Roman" w:eastAsia="仿宋" w:cs="Times New Roman"/>
          <w:sz w:val="28"/>
          <w:szCs w:val="28"/>
          <w:lang w:val="en-US" w:eastAsia="zh-CN"/>
        </w:rPr>
        <w:t>*</w:t>
      </w:r>
      <w:r>
        <w:rPr>
          <w:rFonts w:hint="default" w:ascii="Times New Roman" w:hAnsi="Times New Roman" w:eastAsia="仿宋" w:cs="Times New Roman"/>
          <w:sz w:val="28"/>
          <w:szCs w:val="28"/>
          <w:lang w:val="en-US" w:eastAsia="zh-CN"/>
        </w:rPr>
        <w:t>经白油吸收+“碳纤维吸附+蒸汽脱附”系统处理后</w:t>
      </w:r>
      <w:r>
        <w:rPr>
          <w:rFonts w:hint="default" w:ascii="Times New Roman" w:hAnsi="Times New Roman" w:eastAsia="仿宋" w:cs="Times New Roman"/>
          <w:sz w:val="28"/>
          <w:szCs w:val="28"/>
        </w:rPr>
        <w:t>不单独设置排气筒排放</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与干燥、一级牵伸工段产生的</w:t>
      </w:r>
      <w:r>
        <w:rPr>
          <w:rFonts w:hint="eastAsia" w:ascii="Times New Roman" w:hAnsi="Times New Roman" w:eastAsia="仿宋" w:cs="Times New Roman"/>
          <w:sz w:val="28"/>
          <w:szCs w:val="28"/>
          <w:lang w:val="en-US" w:eastAsia="zh-CN"/>
        </w:rPr>
        <w:t>*</w:t>
      </w:r>
      <w:r>
        <w:rPr>
          <w:rFonts w:hint="default" w:ascii="Times New Roman" w:hAnsi="Times New Roman" w:eastAsia="仿宋" w:cs="Times New Roman"/>
          <w:sz w:val="28"/>
          <w:szCs w:val="28"/>
          <w:lang w:val="en-US" w:eastAsia="zh-CN"/>
        </w:rPr>
        <w:t>一并排放</w:t>
      </w:r>
      <w:r>
        <w:rPr>
          <w:rFonts w:hint="default" w:ascii="Times New Roman" w:hAnsi="Times New Roman" w:eastAsia="仿宋" w:cs="Times New Roman"/>
          <w:sz w:val="28"/>
          <w:szCs w:val="28"/>
        </w:rPr>
        <w:t>减少排气筒个数，方便企业管理。</w:t>
      </w:r>
    </w:p>
    <w:p w14:paraId="4E9DEE15">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对照《污染影响类建设项目重大变动清单（试行）》的通知（环办环评函[2020]688号文）的要求可知，项目存在的变动不属于重大变动，可纳入竣工环境保护验收管理。</w:t>
      </w:r>
    </w:p>
    <w:p w14:paraId="084F84A3">
      <w:pPr>
        <w:spacing w:line="480" w:lineRule="exact"/>
        <w:ind w:firstLine="560"/>
        <w:rPr>
          <w:rFonts w:hint="default" w:ascii="Times New Roman" w:hAnsi="Times New Roman" w:eastAsia="仿宋" w:cs="Times New Roman"/>
          <w:color w:val="000000"/>
        </w:rPr>
        <w:sectPr>
          <w:pgSz w:w="11906" w:h="16838"/>
          <w:pgMar w:top="1440" w:right="1800" w:bottom="1440" w:left="1800" w:header="851" w:footer="992" w:gutter="0"/>
          <w:cols w:space="425" w:num="1"/>
          <w:docGrid w:type="lines" w:linePitch="381" w:charSpace="0"/>
        </w:sectPr>
      </w:pPr>
      <w:r>
        <w:rPr>
          <w:rFonts w:hint="default" w:ascii="Times New Roman" w:hAnsi="Times New Roman" w:eastAsia="仿宋" w:cs="Times New Roman"/>
          <w:color w:val="000000"/>
        </w:rPr>
        <w:t>变动情况对照分别见表3.6-1。涉密删除。</w:t>
      </w:r>
    </w:p>
    <w:p w14:paraId="24CBDBEA">
      <w:pPr>
        <w:pStyle w:val="2"/>
        <w:spacing w:beforeLines="50" w:afterLines="50"/>
        <w:rPr>
          <w:rFonts w:hint="default" w:ascii="Times New Roman" w:hAnsi="Times New Roman" w:cs="Times New Roman"/>
          <w:color w:val="000000"/>
        </w:rPr>
      </w:pPr>
      <w:bookmarkStart w:id="40" w:name="_Toc520410243"/>
      <w:bookmarkStart w:id="41" w:name="_Toc19325"/>
      <w:bookmarkStart w:id="42" w:name="_Toc5204531"/>
      <w:r>
        <w:rPr>
          <w:rFonts w:hint="default" w:ascii="Times New Roman" w:hAnsi="Times New Roman" w:cs="Times New Roman"/>
          <w:color w:val="000000"/>
        </w:rPr>
        <w:t>4环境保护设施</w:t>
      </w:r>
      <w:bookmarkEnd w:id="40"/>
      <w:bookmarkEnd w:id="41"/>
      <w:bookmarkEnd w:id="42"/>
    </w:p>
    <w:p w14:paraId="000812D5">
      <w:pPr>
        <w:pStyle w:val="3"/>
        <w:spacing w:before="156" w:after="156"/>
        <w:ind w:firstLine="0" w:firstLineChars="0"/>
        <w:rPr>
          <w:rFonts w:hint="default" w:ascii="Times New Roman" w:hAnsi="Times New Roman" w:cs="Times New Roman"/>
          <w:color w:val="000000"/>
        </w:rPr>
      </w:pPr>
      <w:bookmarkStart w:id="43" w:name="_Toc520410244"/>
      <w:bookmarkStart w:id="44" w:name="_Toc5204532"/>
      <w:bookmarkStart w:id="45" w:name="_Toc14419"/>
      <w:r>
        <w:rPr>
          <w:rFonts w:hint="default" w:ascii="Times New Roman" w:hAnsi="Times New Roman" w:cs="Times New Roman"/>
          <w:color w:val="000000"/>
        </w:rPr>
        <w:t>4.1污染物治理/处理设施</w:t>
      </w:r>
      <w:bookmarkEnd w:id="43"/>
      <w:bookmarkEnd w:id="44"/>
      <w:bookmarkEnd w:id="45"/>
    </w:p>
    <w:p w14:paraId="3019EF0A">
      <w:pPr>
        <w:pStyle w:val="4"/>
        <w:spacing w:beforeLines="0" w:afterLines="0"/>
        <w:rPr>
          <w:rFonts w:hint="default" w:ascii="Times New Roman" w:hAnsi="Times New Roman" w:cs="Times New Roman"/>
          <w:color w:val="000000"/>
        </w:rPr>
      </w:pPr>
      <w:bookmarkStart w:id="46" w:name="_Toc520410245"/>
      <w:r>
        <w:rPr>
          <w:rFonts w:hint="default" w:ascii="Times New Roman" w:hAnsi="Times New Roman" w:cs="Times New Roman"/>
          <w:color w:val="000000"/>
        </w:rPr>
        <w:t>4.1.1废水</w:t>
      </w:r>
      <w:bookmarkEnd w:id="46"/>
    </w:p>
    <w:p w14:paraId="2B4EA0C7">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sz w:val="28"/>
          <w:szCs w:val="28"/>
        </w:rPr>
        <w:t>本项目废水主要为工艺废水、循环冷却水系统排水、生活污水、地面清洗用水、喷淋塔用水、真空清洗炉用水、初期雨水，经收集后送入厂内污水站进行处理后接管至苏环洋口港（南通）水务有限公司进行深度处理。厂区废水处理站处理能力为</w:t>
      </w:r>
      <w:r>
        <w:rPr>
          <w:rFonts w:hint="default" w:ascii="Times New Roman" w:hAnsi="Times New Roman" w:eastAsia="仿宋" w:cs="Times New Roman"/>
          <w:sz w:val="28"/>
          <w:szCs w:val="28"/>
          <w:lang w:val="en-US" w:eastAsia="zh-CN"/>
        </w:rPr>
        <w:t>600</w:t>
      </w:r>
      <w:r>
        <w:rPr>
          <w:rFonts w:hint="default" w:ascii="Times New Roman" w:hAnsi="Times New Roman" w:eastAsia="仿宋" w:cs="Times New Roman"/>
          <w:sz w:val="28"/>
          <w:szCs w:val="28"/>
        </w:rPr>
        <w:t>m</w:t>
      </w:r>
      <w:r>
        <w:rPr>
          <w:rFonts w:hint="default" w:ascii="Times New Roman" w:hAnsi="Times New Roman" w:eastAsia="仿宋" w:cs="Times New Roman"/>
          <w:sz w:val="28"/>
          <w:szCs w:val="28"/>
          <w:vertAlign w:val="superscript"/>
        </w:rPr>
        <w:t>3</w:t>
      </w:r>
      <w:r>
        <w:rPr>
          <w:rFonts w:hint="default" w:ascii="Times New Roman" w:hAnsi="Times New Roman" w:eastAsia="仿宋" w:cs="Times New Roman"/>
          <w:sz w:val="28"/>
          <w:szCs w:val="28"/>
        </w:rPr>
        <w:t>/d，采用“树脂吸附+水解酸化+好氧+沉淀+气浮”工艺（废水处理工艺流程见图4.1-1）。处理达接管标准后排入苏环洋口港（南通）水务有限公司集中深度处理，尾水达标排入黄海</w:t>
      </w:r>
      <w:r>
        <w:rPr>
          <w:rFonts w:hint="default" w:ascii="Times New Roman" w:hAnsi="Times New Roman" w:eastAsia="仿宋" w:cs="Times New Roman"/>
          <w:color w:val="000000"/>
        </w:rPr>
        <w:t>。</w:t>
      </w:r>
    </w:p>
    <w:p w14:paraId="648DFE4B">
      <w:pPr>
        <w:pStyle w:val="4"/>
        <w:spacing w:before="163" w:after="163"/>
        <w:rPr>
          <w:rFonts w:hint="default" w:ascii="Times New Roman" w:hAnsi="Times New Roman" w:cs="Times New Roman"/>
          <w:color w:val="000000"/>
        </w:rPr>
      </w:pPr>
      <w:r>
        <w:rPr>
          <w:rFonts w:hint="default" w:ascii="Times New Roman" w:hAnsi="Times New Roman" w:cs="Times New Roman" w:eastAsiaTheme="minorEastAsia"/>
          <w:b/>
          <w:bCs/>
          <w:color w:val="000000"/>
        </w:rPr>
        <w:t>涉密删除。</w:t>
      </w:r>
      <w:bookmarkStart w:id="47" w:name="_Toc520410246"/>
      <w:r>
        <w:rPr>
          <w:rFonts w:hint="default" w:ascii="Times New Roman" w:hAnsi="Times New Roman" w:cs="Times New Roman"/>
          <w:color w:val="000000"/>
        </w:rPr>
        <w:t>4.1.2 废气</w:t>
      </w:r>
      <w:bookmarkEnd w:id="47"/>
    </w:p>
    <w:p w14:paraId="59A06372">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default" w:ascii="Times New Roman" w:hAnsi="Times New Roman" w:eastAsia="仿宋" w:cs="Times New Roman"/>
          <w:b w:val="0"/>
          <w:bCs w:val="0"/>
          <w:kern w:val="2"/>
          <w:sz w:val="28"/>
          <w:szCs w:val="28"/>
          <w:lang w:val="en-US" w:eastAsia="zh-CN" w:bidi="ar-SA"/>
        </w:rPr>
      </w:pPr>
      <w:r>
        <w:rPr>
          <w:rFonts w:hint="default" w:ascii="Times New Roman" w:hAnsi="Times New Roman" w:eastAsia="仿宋" w:cs="Times New Roman"/>
          <w:color w:val="000000"/>
        </w:rPr>
        <w:t>涉密删除。</w:t>
      </w:r>
    </w:p>
    <w:p w14:paraId="4F311A7C">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default" w:ascii="Times New Roman" w:hAnsi="Times New Roman" w:eastAsia="仿宋" w:cs="Times New Roman"/>
          <w:b w:val="0"/>
          <w:bCs w:val="0"/>
          <w:kern w:val="2"/>
          <w:sz w:val="28"/>
          <w:szCs w:val="28"/>
          <w:lang w:val="en-US" w:eastAsia="zh-CN" w:bidi="ar-SA"/>
        </w:rPr>
      </w:pPr>
    </w:p>
    <w:p w14:paraId="40AD1A69">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（2）无组织废气</w:t>
      </w:r>
    </w:p>
    <w:p w14:paraId="0D0DC884">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本项目无组织排放主要为生产装置无组织废气、罐区无组织废气等。</w:t>
      </w:r>
    </w:p>
    <w:p w14:paraId="36828F78">
      <w:pPr>
        <w:pStyle w:val="4"/>
        <w:spacing w:before="163" w:afterLines="0"/>
        <w:rPr>
          <w:rFonts w:hint="default" w:ascii="Times New Roman" w:hAnsi="Times New Roman" w:cs="Times New Roman"/>
          <w:color w:val="000000"/>
        </w:rPr>
      </w:pPr>
      <w:bookmarkStart w:id="48" w:name="_Toc520410247"/>
      <w:bookmarkStart w:id="49" w:name="_Hlk520382096"/>
      <w:r>
        <w:rPr>
          <w:rFonts w:hint="default" w:ascii="Times New Roman" w:hAnsi="Times New Roman" w:cs="Times New Roman"/>
          <w:color w:val="000000"/>
        </w:rPr>
        <w:t>4.1.3 噪声</w:t>
      </w:r>
      <w:bookmarkEnd w:id="48"/>
    </w:p>
    <w:bookmarkEnd w:id="49"/>
    <w:p w14:paraId="2038A532">
      <w:pPr>
        <w:pStyle w:val="6"/>
        <w:keepNext w:val="0"/>
        <w:keepLines w:val="0"/>
        <w:pageBreakBefore w:val="0"/>
        <w:widowControl w:val="0"/>
        <w:kinsoku/>
        <w:wordWrap/>
        <w:overflowPunct/>
        <w:topLinePunct w:val="0"/>
        <w:autoSpaceDE/>
        <w:autoSpaceDN/>
        <w:bidi w:val="0"/>
        <w:adjustRightInd w:val="0"/>
        <w:snapToGrid w:val="0"/>
        <w:spacing w:line="480" w:lineRule="exact"/>
        <w:ind w:firstLine="560"/>
        <w:textAlignment w:val="auto"/>
        <w:rPr>
          <w:rFonts w:hint="default" w:ascii="Times New Roman" w:hAnsi="Times New Roman" w:eastAsia="仿宋" w:cs="Times New Roman"/>
          <w:color w:val="000000"/>
          <w:sz w:val="28"/>
          <w:szCs w:val="28"/>
          <w:lang w:val="en-US" w:eastAsia="zh-CN" w:bidi="ar-SA"/>
        </w:rPr>
      </w:pPr>
      <w:bookmarkStart w:id="50" w:name="_Toc520410248"/>
      <w:r>
        <w:rPr>
          <w:rFonts w:hint="default" w:ascii="Times New Roman" w:hAnsi="Times New Roman" w:eastAsia="仿宋" w:cs="Times New Roman"/>
          <w:color w:val="000000"/>
          <w:sz w:val="28"/>
          <w:szCs w:val="28"/>
          <w:lang w:val="en-US" w:eastAsia="zh-CN" w:bidi="ar-SA"/>
        </w:rPr>
        <w:t>本项目噪声污染源主要是厂区车间各类生产设备产生的噪声，主要包括泵类、风机等产生的噪声，其产生的噪声声级约为70~75dB(A)。</w:t>
      </w:r>
    </w:p>
    <w:p w14:paraId="4AFC35B7">
      <w:pPr>
        <w:pStyle w:val="6"/>
        <w:keepNext w:val="0"/>
        <w:keepLines w:val="0"/>
        <w:pageBreakBefore w:val="0"/>
        <w:widowControl w:val="0"/>
        <w:kinsoku/>
        <w:wordWrap/>
        <w:overflowPunct/>
        <w:topLinePunct w:val="0"/>
        <w:autoSpaceDE/>
        <w:autoSpaceDN/>
        <w:bidi w:val="0"/>
        <w:adjustRightInd w:val="0"/>
        <w:snapToGrid w:val="0"/>
        <w:spacing w:line="480" w:lineRule="exact"/>
        <w:ind w:firstLine="560"/>
        <w:textAlignment w:val="auto"/>
        <w:rPr>
          <w:rFonts w:hint="default" w:ascii="Times New Roman" w:hAnsi="Times New Roman" w:eastAsia="仿宋" w:cs="Times New Roman"/>
          <w:color w:val="000000"/>
          <w:sz w:val="28"/>
          <w:szCs w:val="28"/>
          <w:lang w:val="en-US" w:eastAsia="zh-CN" w:bidi="ar-SA"/>
        </w:rPr>
      </w:pPr>
      <w:r>
        <w:rPr>
          <w:rFonts w:hint="default" w:ascii="Times New Roman" w:hAnsi="Times New Roman" w:eastAsia="仿宋" w:cs="Times New Roman"/>
          <w:color w:val="000000"/>
          <w:sz w:val="28"/>
          <w:szCs w:val="28"/>
          <w:lang w:val="en-US" w:eastAsia="zh-CN" w:bidi="ar-SA"/>
        </w:rPr>
        <w:t>生产中采取的噪声污染防治措施主要有：</w:t>
      </w:r>
    </w:p>
    <w:p w14:paraId="7BB1328B">
      <w:pPr>
        <w:pStyle w:val="6"/>
        <w:keepNext w:val="0"/>
        <w:keepLines w:val="0"/>
        <w:pageBreakBefore w:val="0"/>
        <w:widowControl w:val="0"/>
        <w:kinsoku/>
        <w:wordWrap/>
        <w:overflowPunct/>
        <w:topLinePunct w:val="0"/>
        <w:autoSpaceDE/>
        <w:autoSpaceDN/>
        <w:bidi w:val="0"/>
        <w:adjustRightInd w:val="0"/>
        <w:snapToGrid w:val="0"/>
        <w:spacing w:line="480" w:lineRule="exact"/>
        <w:ind w:firstLine="560"/>
        <w:textAlignment w:val="auto"/>
        <w:rPr>
          <w:rFonts w:hint="default" w:ascii="Times New Roman" w:hAnsi="Times New Roman" w:eastAsia="仿宋" w:cs="Times New Roman"/>
          <w:color w:val="000000"/>
          <w:sz w:val="28"/>
          <w:szCs w:val="28"/>
          <w:lang w:val="en-US" w:eastAsia="zh-CN" w:bidi="ar-SA"/>
        </w:rPr>
      </w:pPr>
      <w:r>
        <w:rPr>
          <w:rFonts w:hint="default" w:ascii="Times New Roman" w:hAnsi="Times New Roman" w:eastAsia="仿宋" w:cs="Times New Roman"/>
          <w:color w:val="000000"/>
          <w:sz w:val="28"/>
          <w:szCs w:val="28"/>
          <w:lang w:val="en-US" w:eastAsia="zh-CN" w:bidi="ar-SA"/>
        </w:rPr>
        <w:t>（1）优先采用低噪音设备；</w:t>
      </w:r>
    </w:p>
    <w:p w14:paraId="3FECA2B4">
      <w:pPr>
        <w:pStyle w:val="6"/>
        <w:keepNext w:val="0"/>
        <w:keepLines w:val="0"/>
        <w:pageBreakBefore w:val="0"/>
        <w:widowControl w:val="0"/>
        <w:kinsoku/>
        <w:wordWrap/>
        <w:overflowPunct/>
        <w:topLinePunct w:val="0"/>
        <w:autoSpaceDE/>
        <w:autoSpaceDN/>
        <w:bidi w:val="0"/>
        <w:adjustRightInd w:val="0"/>
        <w:snapToGrid w:val="0"/>
        <w:spacing w:line="480" w:lineRule="exact"/>
        <w:ind w:firstLine="560"/>
        <w:textAlignment w:val="auto"/>
        <w:rPr>
          <w:rFonts w:hint="default" w:ascii="Times New Roman" w:hAnsi="Times New Roman" w:eastAsia="仿宋" w:cs="Times New Roman"/>
          <w:color w:val="000000"/>
          <w:sz w:val="28"/>
          <w:szCs w:val="28"/>
          <w:lang w:val="en-US" w:eastAsia="zh-CN" w:bidi="ar-SA"/>
        </w:rPr>
      </w:pPr>
      <w:r>
        <w:rPr>
          <w:rFonts w:hint="default" w:ascii="Times New Roman" w:hAnsi="Times New Roman" w:eastAsia="仿宋" w:cs="Times New Roman"/>
          <w:color w:val="000000"/>
          <w:sz w:val="28"/>
          <w:szCs w:val="28"/>
          <w:lang w:val="en-US" w:eastAsia="zh-CN" w:bidi="ar-SA"/>
        </w:rPr>
        <w:t>（2）高噪声设备机座铺设防震、吸音材料，以减少噪声、震动；</w:t>
      </w:r>
    </w:p>
    <w:p w14:paraId="225B243C">
      <w:pPr>
        <w:pStyle w:val="6"/>
        <w:keepNext w:val="0"/>
        <w:keepLines w:val="0"/>
        <w:pageBreakBefore w:val="0"/>
        <w:widowControl w:val="0"/>
        <w:kinsoku/>
        <w:wordWrap/>
        <w:overflowPunct/>
        <w:topLinePunct w:val="0"/>
        <w:autoSpaceDE/>
        <w:autoSpaceDN/>
        <w:bidi w:val="0"/>
        <w:adjustRightInd w:val="0"/>
        <w:snapToGrid w:val="0"/>
        <w:spacing w:line="480" w:lineRule="exact"/>
        <w:ind w:firstLine="560"/>
        <w:textAlignment w:val="auto"/>
        <w:rPr>
          <w:rFonts w:hint="default" w:ascii="Times New Roman" w:hAnsi="Times New Roman" w:eastAsia="仿宋" w:cs="Times New Roman"/>
          <w:color w:val="000000"/>
          <w:sz w:val="28"/>
          <w:szCs w:val="28"/>
          <w:lang w:val="en-US" w:eastAsia="zh-CN" w:bidi="ar-SA"/>
        </w:rPr>
      </w:pPr>
      <w:r>
        <w:rPr>
          <w:rFonts w:hint="default" w:ascii="Times New Roman" w:hAnsi="Times New Roman" w:eastAsia="仿宋" w:cs="Times New Roman"/>
          <w:color w:val="000000"/>
          <w:sz w:val="28"/>
          <w:szCs w:val="28"/>
          <w:lang w:val="en-US" w:eastAsia="zh-CN" w:bidi="ar-SA"/>
        </w:rPr>
        <w:t>（3）机泵安装基础采取减振措施，安装衬套和保护套，出口管线加装避震喉，减少运行噪音；</w:t>
      </w:r>
    </w:p>
    <w:p w14:paraId="01D48B2E">
      <w:pPr>
        <w:pStyle w:val="6"/>
        <w:keepNext w:val="0"/>
        <w:keepLines w:val="0"/>
        <w:pageBreakBefore w:val="0"/>
        <w:widowControl w:val="0"/>
        <w:kinsoku/>
        <w:wordWrap/>
        <w:overflowPunct/>
        <w:topLinePunct w:val="0"/>
        <w:autoSpaceDE/>
        <w:autoSpaceDN/>
        <w:bidi w:val="0"/>
        <w:adjustRightInd w:val="0"/>
        <w:snapToGrid w:val="0"/>
        <w:spacing w:line="480" w:lineRule="exact"/>
        <w:ind w:firstLine="560"/>
        <w:textAlignment w:val="auto"/>
        <w:rPr>
          <w:rFonts w:hint="default" w:ascii="Times New Roman" w:hAnsi="Times New Roman" w:eastAsia="仿宋" w:cs="Times New Roman"/>
          <w:color w:val="000000"/>
          <w:sz w:val="28"/>
          <w:szCs w:val="28"/>
          <w:lang w:val="en-US" w:eastAsia="zh-CN" w:bidi="ar-SA"/>
        </w:rPr>
      </w:pPr>
      <w:r>
        <w:rPr>
          <w:rFonts w:hint="default" w:ascii="Times New Roman" w:hAnsi="Times New Roman" w:eastAsia="仿宋" w:cs="Times New Roman"/>
          <w:color w:val="000000"/>
          <w:sz w:val="28"/>
          <w:szCs w:val="28"/>
          <w:lang w:val="en-US" w:eastAsia="zh-CN" w:bidi="ar-SA"/>
        </w:rPr>
        <w:t>（4）合理安排工作时间，避免在中午和晚上休息时间进行高噪声源强的生产作业；按时保养及维修设备，避免机械超负荷运转；</w:t>
      </w:r>
    </w:p>
    <w:p w14:paraId="7BD71DDD">
      <w:pPr>
        <w:pStyle w:val="6"/>
        <w:keepNext w:val="0"/>
        <w:keepLines w:val="0"/>
        <w:pageBreakBefore w:val="0"/>
        <w:widowControl w:val="0"/>
        <w:kinsoku/>
        <w:wordWrap/>
        <w:overflowPunct/>
        <w:topLinePunct w:val="0"/>
        <w:autoSpaceDE/>
        <w:autoSpaceDN/>
        <w:bidi w:val="0"/>
        <w:adjustRightInd w:val="0"/>
        <w:snapToGrid w:val="0"/>
        <w:spacing w:line="480" w:lineRule="exact"/>
        <w:ind w:firstLine="560"/>
        <w:textAlignment w:val="auto"/>
        <w:rPr>
          <w:rFonts w:hint="default" w:ascii="Times New Roman" w:hAnsi="Times New Roman" w:eastAsia="仿宋" w:cs="Times New Roman"/>
          <w:color w:val="000000"/>
          <w:sz w:val="28"/>
          <w:szCs w:val="28"/>
          <w:lang w:val="en-US" w:eastAsia="zh-CN" w:bidi="ar-SA"/>
        </w:rPr>
      </w:pPr>
      <w:r>
        <w:rPr>
          <w:rFonts w:hint="default" w:ascii="Times New Roman" w:hAnsi="Times New Roman" w:eastAsia="仿宋" w:cs="Times New Roman"/>
          <w:color w:val="000000"/>
          <w:sz w:val="28"/>
          <w:szCs w:val="28"/>
          <w:lang w:val="en-US" w:eastAsia="zh-CN" w:bidi="ar-SA"/>
        </w:rPr>
        <w:t>（5）强化生产管理，确保各类噪声防治措施有效运行，各设备均保持良好运行状态，防止突发噪声；</w:t>
      </w:r>
    </w:p>
    <w:p w14:paraId="1686DC5B">
      <w:pPr>
        <w:pStyle w:val="6"/>
        <w:keepNext w:val="0"/>
        <w:keepLines w:val="0"/>
        <w:pageBreakBefore w:val="0"/>
        <w:widowControl w:val="0"/>
        <w:kinsoku/>
        <w:wordWrap/>
        <w:overflowPunct/>
        <w:topLinePunct w:val="0"/>
        <w:autoSpaceDE/>
        <w:autoSpaceDN/>
        <w:bidi w:val="0"/>
        <w:adjustRightInd w:val="0"/>
        <w:snapToGrid w:val="0"/>
        <w:spacing w:line="480" w:lineRule="exact"/>
        <w:ind w:firstLine="560"/>
        <w:textAlignment w:val="auto"/>
        <w:rPr>
          <w:rFonts w:hint="default" w:ascii="Times New Roman" w:hAnsi="Times New Roman" w:eastAsia="仿宋" w:cs="Times New Roman"/>
          <w:color w:val="000000"/>
          <w:sz w:val="28"/>
          <w:szCs w:val="28"/>
          <w:lang w:val="en-US" w:eastAsia="zh-CN" w:bidi="ar-SA"/>
        </w:rPr>
      </w:pPr>
      <w:r>
        <w:rPr>
          <w:rFonts w:hint="default" w:ascii="Times New Roman" w:hAnsi="Times New Roman" w:eastAsia="仿宋" w:cs="Times New Roman"/>
          <w:color w:val="000000"/>
          <w:sz w:val="28"/>
          <w:szCs w:val="28"/>
          <w:lang w:val="en-US" w:eastAsia="zh-CN" w:bidi="ar-SA"/>
        </w:rPr>
        <w:t>（6）合理布局，在项目设备平面布置上，尽量使高噪设备远离厂界，并在厂区设置绿化带，降低噪声设备对厂界的影响，确保厂界噪声达标。</w:t>
      </w:r>
    </w:p>
    <w:p w14:paraId="445A75FD">
      <w:pPr>
        <w:spacing w:line="360" w:lineRule="auto"/>
        <w:ind w:left="0" w:leftChars="0" w:firstLine="0" w:firstLineChars="0"/>
        <w:jc w:val="center"/>
        <w:rPr>
          <w:rFonts w:hint="default" w:ascii="Times New Roman" w:hAnsi="Times New Roman" w:eastAsia="仿宋" w:cs="Times New Roman"/>
          <w:b/>
          <w:bCs/>
          <w:color w:val="000000" w:themeColor="text1"/>
          <w:sz w:val="28"/>
          <w:szCs w:val="28"/>
          <w:lang w:val="en-US"/>
          <w14:textFill>
            <w14:solidFill>
              <w14:schemeClr w14:val="tx1"/>
            </w14:solidFill>
          </w14:textFill>
        </w:rPr>
      </w:pPr>
      <w:r>
        <w:rPr>
          <w:rFonts w:hint="default" w:ascii="Times New Roman" w:hAnsi="Times New Roman" w:eastAsia="仿宋" w:cs="Times New Roman"/>
          <w:b/>
          <w:bCs/>
          <w:color w:val="000000" w:themeColor="text1"/>
          <w:sz w:val="28"/>
          <w:szCs w:val="28"/>
          <w:lang w:val="en-US" w:eastAsia="zh-CN"/>
          <w14:textFill>
            <w14:solidFill>
              <w14:schemeClr w14:val="tx1"/>
            </w14:solidFill>
          </w14:textFill>
        </w:rPr>
        <w:t>表4.1-6 噪声防治措施照片一览表</w:t>
      </w:r>
    </w:p>
    <w:tbl>
      <w:tblPr>
        <w:tblStyle w:val="25"/>
        <w:tblW w:w="8522" w:type="dxa"/>
        <w:jc w:val="center"/>
        <w:tblLayout w:type="fixed"/>
        <w:tblCellMar>
          <w:top w:w="0" w:type="dxa"/>
          <w:left w:w="108" w:type="dxa"/>
          <w:bottom w:w="0" w:type="dxa"/>
          <w:right w:w="108" w:type="dxa"/>
        </w:tblCellMar>
      </w:tblPr>
      <w:tblGrid>
        <w:gridCol w:w="4261"/>
        <w:gridCol w:w="4261"/>
      </w:tblGrid>
      <w:tr w14:paraId="30D65C40">
        <w:tblPrEx>
          <w:tblCellMar>
            <w:top w:w="0" w:type="dxa"/>
            <w:left w:w="108" w:type="dxa"/>
            <w:bottom w:w="0" w:type="dxa"/>
            <w:right w:w="108" w:type="dxa"/>
          </w:tblCellMar>
        </w:tblPrEx>
        <w:trPr>
          <w:trHeight w:val="90" w:hRule="atLeast"/>
          <w:jc w:val="center"/>
        </w:trPr>
        <w:tc>
          <w:tcPr>
            <w:tcW w:w="4261" w:type="dxa"/>
            <w:vAlign w:val="center"/>
          </w:tcPr>
          <w:p w14:paraId="3D504575">
            <w:pPr>
              <w:snapToGrid w:val="0"/>
              <w:spacing w:line="240" w:lineRule="auto"/>
              <w:ind w:firstLine="0" w:firstLineChars="0"/>
              <w:jc w:val="center"/>
              <w:rPr>
                <w:rFonts w:hint="default" w:ascii="Times New Roman" w:hAnsi="Times New Roman" w:eastAsia="仿宋" w:cs="Times New Roman"/>
                <w:b/>
                <w:color w:val="000000" w:themeColor="text1"/>
                <w:szCs w:val="21"/>
                <w14:textFill>
                  <w14:solidFill>
                    <w14:schemeClr w14:val="tx1"/>
                  </w14:solidFill>
                </w14:textFill>
              </w:rPr>
            </w:pPr>
            <w:r>
              <w:rPr>
                <w:rFonts w:hint="default" w:ascii="Times New Roman" w:hAnsi="Times New Roman" w:cs="Times New Roman"/>
              </w:rPr>
              <w:drawing>
                <wp:inline distT="0" distB="0" distL="114300" distR="114300">
                  <wp:extent cx="2404745" cy="1929765"/>
                  <wp:effectExtent l="0" t="0" r="8255" b="635"/>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14"/>
                          <a:stretch>
                            <a:fillRect/>
                          </a:stretch>
                        </pic:blipFill>
                        <pic:spPr>
                          <a:xfrm>
                            <a:off x="0" y="0"/>
                            <a:ext cx="2404745" cy="1929765"/>
                          </a:xfrm>
                          <a:prstGeom prst="rect">
                            <a:avLst/>
                          </a:prstGeom>
                          <a:noFill/>
                          <a:ln>
                            <a:noFill/>
                          </a:ln>
                        </pic:spPr>
                      </pic:pic>
                    </a:graphicData>
                  </a:graphic>
                </wp:inline>
              </w:drawing>
            </w:r>
          </w:p>
        </w:tc>
        <w:tc>
          <w:tcPr>
            <w:tcW w:w="4261" w:type="dxa"/>
            <w:vAlign w:val="center"/>
          </w:tcPr>
          <w:p w14:paraId="0A622F4A">
            <w:pPr>
              <w:snapToGrid w:val="0"/>
              <w:spacing w:line="240" w:lineRule="auto"/>
              <w:ind w:firstLine="0" w:firstLineChars="0"/>
              <w:jc w:val="center"/>
              <w:rPr>
                <w:rFonts w:hint="default" w:ascii="Times New Roman" w:hAnsi="Times New Roman" w:cs="Times New Roman" w:eastAsiaTheme="minorEastAsia"/>
                <w:lang w:eastAsia="zh-CN"/>
              </w:rPr>
            </w:pPr>
            <w:r>
              <w:rPr>
                <w:rFonts w:hint="default" w:ascii="Times New Roman" w:hAnsi="Times New Roman" w:cs="Times New Roman"/>
              </w:rPr>
              <w:drawing>
                <wp:inline distT="0" distB="0" distL="114300" distR="114300">
                  <wp:extent cx="2564765" cy="1882140"/>
                  <wp:effectExtent l="0" t="0" r="635" b="10160"/>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15"/>
                          <a:stretch>
                            <a:fillRect/>
                          </a:stretch>
                        </pic:blipFill>
                        <pic:spPr>
                          <a:xfrm>
                            <a:off x="0" y="0"/>
                            <a:ext cx="2564765" cy="1882140"/>
                          </a:xfrm>
                          <a:prstGeom prst="rect">
                            <a:avLst/>
                          </a:prstGeom>
                          <a:noFill/>
                          <a:ln>
                            <a:noFill/>
                          </a:ln>
                        </pic:spPr>
                      </pic:pic>
                    </a:graphicData>
                  </a:graphic>
                </wp:inline>
              </w:drawing>
            </w:r>
          </w:p>
        </w:tc>
      </w:tr>
      <w:tr w14:paraId="64ED69E9">
        <w:tblPrEx>
          <w:tblCellMar>
            <w:top w:w="0" w:type="dxa"/>
            <w:left w:w="108" w:type="dxa"/>
            <w:bottom w:w="0" w:type="dxa"/>
            <w:right w:w="108" w:type="dxa"/>
          </w:tblCellMar>
        </w:tblPrEx>
        <w:trPr>
          <w:trHeight w:val="340" w:hRule="atLeast"/>
          <w:jc w:val="center"/>
        </w:trPr>
        <w:tc>
          <w:tcPr>
            <w:tcW w:w="4261" w:type="dxa"/>
            <w:vAlign w:val="top"/>
          </w:tcPr>
          <w:p w14:paraId="69C02D3D">
            <w:pPr>
              <w:ind w:firstLine="482" w:firstLineChars="20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_GB2312" w:cs="Times New Roman"/>
                <w:b/>
                <w:bCs/>
                <w:kern w:val="0"/>
                <w:sz w:val="24"/>
                <w:szCs w:val="24"/>
                <w:lang w:val="en-US" w:eastAsia="zh-CN"/>
              </w:rPr>
              <w:t>弹簧</w:t>
            </w:r>
            <w:r>
              <w:rPr>
                <w:rFonts w:hint="default" w:ascii="Times New Roman" w:hAnsi="Times New Roman" w:eastAsia="仿宋_GB2312" w:cs="Times New Roman"/>
                <w:b/>
                <w:bCs/>
                <w:kern w:val="0"/>
                <w:sz w:val="24"/>
                <w:szCs w:val="24"/>
              </w:rPr>
              <w:t>照片</w:t>
            </w:r>
          </w:p>
        </w:tc>
        <w:tc>
          <w:tcPr>
            <w:tcW w:w="4261" w:type="dxa"/>
            <w:vAlign w:val="top"/>
          </w:tcPr>
          <w:p w14:paraId="33E9BA48">
            <w:pPr>
              <w:ind w:firstLine="482" w:firstLineChars="200"/>
              <w:jc w:val="center"/>
              <w:rPr>
                <w:rFonts w:hint="default" w:ascii="Times New Roman" w:hAnsi="Times New Roman" w:eastAsia="仿宋_GB2312" w:cs="Times New Roman"/>
                <w:b/>
                <w:bCs/>
                <w:kern w:val="0"/>
                <w:sz w:val="24"/>
                <w:szCs w:val="24"/>
                <w:lang w:val="en-US" w:eastAsia="zh-CN"/>
              </w:rPr>
            </w:pPr>
            <w:r>
              <w:rPr>
                <w:rFonts w:hint="default" w:ascii="Times New Roman" w:hAnsi="Times New Roman" w:eastAsia="仿宋_GB2312" w:cs="Times New Roman"/>
                <w:b/>
                <w:bCs/>
                <w:kern w:val="0"/>
                <w:sz w:val="24"/>
                <w:szCs w:val="24"/>
                <w:lang w:val="en-US" w:eastAsia="zh-CN"/>
              </w:rPr>
              <w:t>减震基座照片</w:t>
            </w:r>
          </w:p>
        </w:tc>
      </w:tr>
    </w:tbl>
    <w:p w14:paraId="2FDBC9E0">
      <w:pPr>
        <w:pStyle w:val="4"/>
        <w:spacing w:before="163" w:after="163"/>
        <w:rPr>
          <w:rFonts w:hint="default" w:ascii="Times New Roman" w:hAnsi="Times New Roman" w:cs="Times New Roman"/>
          <w:color w:val="000000"/>
        </w:rPr>
      </w:pPr>
      <w:r>
        <w:rPr>
          <w:rFonts w:hint="default" w:ascii="Times New Roman" w:hAnsi="Times New Roman" w:cs="Times New Roman"/>
          <w:color w:val="000000"/>
        </w:rPr>
        <w:t>4.1.4 固体废物</w:t>
      </w:r>
      <w:bookmarkEnd w:id="50"/>
    </w:p>
    <w:p w14:paraId="6EED3EA9">
      <w:pPr>
        <w:spacing w:line="360" w:lineRule="auto"/>
        <w:ind w:firstLine="560"/>
        <w:jc w:val="left"/>
        <w:rPr>
          <w:rFonts w:hint="default" w:ascii="Times New Roman" w:hAnsi="Times New Roman" w:eastAsia="仿宋" w:cs="Times New Roman"/>
          <w:color w:val="000000" w:themeColor="text1"/>
          <w:sz w:val="28"/>
          <w:szCs w:val="28"/>
          <w14:textFill>
            <w14:solidFill>
              <w14:schemeClr w14:val="tx1"/>
            </w14:solidFill>
          </w14:textFill>
        </w:rPr>
      </w:pPr>
      <w:bookmarkStart w:id="51" w:name="_Hlk520382177"/>
      <w:bookmarkStart w:id="52" w:name="_Toc5204533"/>
      <w:r>
        <w:rPr>
          <w:rFonts w:hint="default" w:ascii="Times New Roman" w:hAnsi="Times New Roman" w:eastAsia="仿宋" w:cs="Times New Roman"/>
          <w:color w:val="000000" w:themeColor="text1"/>
          <w:sz w:val="28"/>
          <w:szCs w:val="28"/>
          <w14:textFill>
            <w14:solidFill>
              <w14:schemeClr w14:val="tx1"/>
            </w14:solidFill>
          </w14:textFill>
        </w:rPr>
        <w:t>（1）产生及处置途径</w:t>
      </w:r>
    </w:p>
    <w:p w14:paraId="766C3DE6">
      <w:pPr>
        <w:spacing w:line="360" w:lineRule="auto"/>
        <w:ind w:firstLine="560"/>
        <w:jc w:val="left"/>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本项目固体废物包括废丝、废白土、</w:t>
      </w:r>
      <w:r>
        <w:rPr>
          <w:rFonts w:hint="default" w:ascii="Times New Roman" w:hAnsi="Times New Roman" w:eastAsia="仿宋" w:cs="Times New Roman"/>
          <w:color w:val="000000" w:themeColor="text1"/>
          <w:sz w:val="28"/>
          <w:szCs w:val="28"/>
          <w:lang w:eastAsia="zh-CN"/>
          <w14:textFill>
            <w14:solidFill>
              <w14:schemeClr w14:val="tx1"/>
            </w14:solidFill>
          </w14:textFill>
        </w:rPr>
        <w:t>废油</w:t>
      </w:r>
      <w:r>
        <w:rPr>
          <w:rFonts w:hint="default" w:ascii="Times New Roman" w:hAnsi="Times New Roman" w:eastAsia="仿宋" w:cs="Times New Roman"/>
          <w:color w:val="000000" w:themeColor="text1"/>
          <w:sz w:val="28"/>
          <w:szCs w:val="28"/>
          <w14:textFill>
            <w14:solidFill>
              <w14:schemeClr w14:val="tx1"/>
            </w14:solidFill>
          </w14:textFill>
        </w:rPr>
        <w:t>、废渣、废活性炭纤维、废齿轮油、废液压油、废冷冻油、废包装材料、废油桶、废活性炭、气浮渣、水处理污泥、</w:t>
      </w:r>
      <w:r>
        <w:rPr>
          <w:rFonts w:hint="default" w:ascii="Times New Roman" w:hAnsi="Times New Roman" w:eastAsia="仿宋" w:cs="Times New Roman"/>
          <w:color w:val="000000" w:themeColor="text1"/>
          <w:sz w:val="28"/>
          <w:szCs w:val="28"/>
          <w:lang w:eastAsia="zh-CN"/>
          <w14:textFill>
            <w14:solidFill>
              <w14:schemeClr w14:val="tx1"/>
            </w14:solidFill>
          </w14:textFill>
        </w:rPr>
        <w:t>实验室废液（含在线监控废液）</w:t>
      </w:r>
      <w:r>
        <w:rPr>
          <w:rFonts w:hint="default" w:ascii="Times New Roman" w:hAnsi="Times New Roman" w:eastAsia="仿宋" w:cs="Times New Roman"/>
          <w:color w:val="000000" w:themeColor="text1"/>
          <w:sz w:val="28"/>
          <w:szCs w:val="28"/>
          <w14:textFill>
            <w14:solidFill>
              <w14:schemeClr w14:val="tx1"/>
            </w14:solidFill>
          </w14:textFill>
        </w:rPr>
        <w:t>、一次性实验用品及包装、生活垃圾。其中废丝、废包装材料收集后外售；生活垃圾委托环卫清运；废白土委托常州永葆绿能环境有限公司</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司处理；废活性炭纤维、废活性炭、实验室废液（含在线监控废液）、</w:t>
      </w:r>
      <w:r>
        <w:rPr>
          <w:rFonts w:hint="default" w:ascii="Times New Roman" w:hAnsi="Times New Roman" w:eastAsia="仿宋" w:cs="Times New Roman"/>
          <w:color w:val="000000" w:themeColor="text1"/>
          <w:sz w:val="28"/>
          <w:szCs w:val="28"/>
          <w14:textFill>
            <w14:solidFill>
              <w14:schemeClr w14:val="tx1"/>
            </w14:solidFill>
          </w14:textFill>
        </w:rPr>
        <w:t>一次性实验用品及包装</w:t>
      </w:r>
      <w:r>
        <w:rPr>
          <w:rFonts w:hint="default" w:ascii="Times New Roman" w:hAnsi="Times New Roman" w:eastAsia="仿宋" w:cs="Times New Roman"/>
          <w:color w:val="000000" w:themeColor="text1"/>
          <w:sz w:val="28"/>
          <w:szCs w:val="28"/>
          <w:lang w:eastAsia="zh-CN"/>
          <w14:textFill>
            <w14:solidFill>
              <w14:schemeClr w14:val="tx1"/>
            </w14:solidFill>
          </w14:textFill>
        </w:rPr>
        <w:t>、</w:t>
      </w:r>
      <w:r>
        <w:rPr>
          <w:rFonts w:hint="default" w:ascii="Times New Roman" w:hAnsi="Times New Roman" w:eastAsia="仿宋" w:cs="Times New Roman"/>
          <w:color w:val="000000" w:themeColor="text1"/>
          <w:sz w:val="28"/>
          <w:szCs w:val="28"/>
          <w14:textFill>
            <w14:solidFill>
              <w14:schemeClr w14:val="tx1"/>
            </w14:solidFill>
          </w14:textFill>
        </w:rPr>
        <w:t>废渣、废油桶、废活性炭、气浮渣、水处理污泥</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等</w:t>
      </w:r>
      <w:r>
        <w:rPr>
          <w:rFonts w:hint="default" w:ascii="Times New Roman" w:hAnsi="Times New Roman" w:eastAsia="仿宋" w:cs="Times New Roman"/>
          <w:color w:val="000000" w:themeColor="text1"/>
          <w:sz w:val="28"/>
          <w:szCs w:val="28"/>
          <w14:textFill>
            <w14:solidFill>
              <w14:schemeClr w14:val="tx1"/>
            </w14:solidFill>
          </w14:textFill>
        </w:rPr>
        <w:t>委托</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江苏东江环境服务有限公司处理；</w:t>
      </w:r>
      <w:r>
        <w:rPr>
          <w:rFonts w:hint="default" w:ascii="Times New Roman" w:hAnsi="Times New Roman" w:eastAsia="仿宋" w:cs="Times New Roman"/>
          <w:color w:val="000000" w:themeColor="text1"/>
          <w:sz w:val="28"/>
          <w:szCs w:val="28"/>
          <w:lang w:eastAsia="zh-CN"/>
          <w14:textFill>
            <w14:solidFill>
              <w14:schemeClr w14:val="tx1"/>
            </w14:solidFill>
          </w14:textFill>
        </w:rPr>
        <w:t>废油</w:t>
      </w:r>
      <w:r>
        <w:rPr>
          <w:rFonts w:hint="default" w:ascii="Times New Roman" w:hAnsi="Times New Roman" w:eastAsia="仿宋" w:cs="Times New Roman"/>
          <w:color w:val="000000" w:themeColor="text1"/>
          <w:sz w:val="28"/>
          <w:szCs w:val="28"/>
          <w14:textFill>
            <w14:solidFill>
              <w14:schemeClr w14:val="tx1"/>
            </w14:solidFill>
          </w14:textFill>
        </w:rPr>
        <w:t>、废齿轮油、废液压油、废冷冻油</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委托</w:t>
      </w:r>
      <w:bookmarkStart w:id="53" w:name="OLE_LINK11"/>
      <w:r>
        <w:rPr>
          <w:rFonts w:hint="default" w:ascii="Times New Roman" w:hAnsi="Times New Roman" w:eastAsia="仿宋" w:cs="Times New Roman"/>
          <w:color w:val="000000" w:themeColor="text1"/>
          <w:sz w:val="28"/>
          <w:szCs w:val="28"/>
          <w:lang w:val="en-US" w:eastAsia="zh-CN"/>
          <w14:textFill>
            <w14:solidFill>
              <w14:schemeClr w14:val="tx1"/>
            </w14:solidFill>
          </w14:textFill>
        </w:rPr>
        <w:t>江苏信炜能源发展有限公司</w:t>
      </w:r>
      <w:bookmarkEnd w:id="53"/>
      <w:r>
        <w:rPr>
          <w:rFonts w:hint="default" w:ascii="Times New Roman" w:hAnsi="Times New Roman" w:eastAsia="仿宋" w:cs="Times New Roman"/>
          <w:color w:val="000000" w:themeColor="text1"/>
          <w:sz w:val="28"/>
          <w:szCs w:val="28"/>
          <w:lang w:val="en-US" w:eastAsia="zh-CN"/>
          <w14:textFill>
            <w14:solidFill>
              <w14:schemeClr w14:val="tx1"/>
            </w14:solidFill>
          </w14:textFill>
        </w:rPr>
        <w:t>处理。</w:t>
      </w:r>
    </w:p>
    <w:p w14:paraId="7190BBFC">
      <w:pPr>
        <w:spacing w:line="360" w:lineRule="auto"/>
        <w:ind w:firstLine="560"/>
        <w:jc w:val="left"/>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（2）储存场所</w:t>
      </w:r>
    </w:p>
    <w:bookmarkEnd w:id="51"/>
    <w:p w14:paraId="733B7EA7">
      <w:pPr>
        <w:spacing w:line="360" w:lineRule="auto"/>
        <w:ind w:firstLine="560"/>
        <w:jc w:val="left"/>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 xml:space="preserve">厂区设有 </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1</w:t>
      </w:r>
      <w:r>
        <w:rPr>
          <w:rFonts w:hint="default" w:ascii="Times New Roman" w:hAnsi="Times New Roman" w:eastAsia="仿宋" w:cs="Times New Roman"/>
          <w:color w:val="000000" w:themeColor="text1"/>
          <w:sz w:val="28"/>
          <w:szCs w:val="28"/>
          <w14:textFill>
            <w14:solidFill>
              <w14:schemeClr w14:val="tx1"/>
            </w14:solidFill>
          </w14:textFill>
        </w:rPr>
        <w:t xml:space="preserve"> 个危废库，危废库位于污水处理站西侧，面积 960m</w:t>
      </w:r>
      <w:r>
        <w:rPr>
          <w:rFonts w:hint="default" w:ascii="Times New Roman" w:hAnsi="Times New Roman" w:eastAsia="仿宋" w:cs="Times New Roman"/>
          <w:color w:val="000000" w:themeColor="text1"/>
          <w:sz w:val="28"/>
          <w:szCs w:val="28"/>
          <w:vertAlign w:val="superscript"/>
          <w14:textFill>
            <w14:solidFill>
              <w14:schemeClr w14:val="tx1"/>
            </w14:solidFill>
          </w14:textFill>
        </w:rPr>
        <w:t>2</w:t>
      </w:r>
      <w:r>
        <w:rPr>
          <w:rFonts w:hint="default" w:ascii="Times New Roman" w:hAnsi="Times New Roman" w:eastAsia="仿宋" w:cs="Times New Roman"/>
          <w:color w:val="000000" w:themeColor="text1"/>
          <w:sz w:val="28"/>
          <w:szCs w:val="28"/>
          <w14:textFill>
            <w14:solidFill>
              <w14:schemeClr w14:val="tx1"/>
            </w14:solidFill>
          </w14:textFill>
        </w:rPr>
        <w:t>。危废库</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分区1</w:t>
      </w:r>
      <w:r>
        <w:rPr>
          <w:rFonts w:hint="default" w:ascii="Times New Roman" w:hAnsi="Times New Roman" w:eastAsia="仿宋" w:cs="Times New Roman"/>
          <w:color w:val="000000" w:themeColor="text1"/>
          <w:sz w:val="28"/>
          <w:szCs w:val="28"/>
          <w14:textFill>
            <w14:solidFill>
              <w14:schemeClr w14:val="tx1"/>
            </w14:solidFill>
          </w14:textFill>
        </w:rPr>
        <w:t>用来贮存废白土，其余危废贮存于危废库</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分区2</w:t>
      </w:r>
      <w:r>
        <w:rPr>
          <w:rFonts w:hint="default" w:ascii="Times New Roman" w:hAnsi="Times New Roman" w:eastAsia="仿宋" w:cs="Times New Roman"/>
          <w:color w:val="000000" w:themeColor="text1"/>
          <w:sz w:val="28"/>
          <w:szCs w:val="28"/>
          <w14:textFill>
            <w14:solidFill>
              <w14:schemeClr w14:val="tx1"/>
            </w14:solidFill>
          </w14:textFill>
        </w:rPr>
        <w:t>中</w:t>
      </w:r>
      <w:r>
        <w:rPr>
          <w:rFonts w:hint="default" w:ascii="Times New Roman" w:hAnsi="Times New Roman" w:eastAsia="仿宋" w:cs="Times New Roman"/>
          <w:color w:val="000000" w:themeColor="text1"/>
          <w:sz w:val="28"/>
          <w:szCs w:val="28"/>
          <w:lang w:eastAsia="zh-CN"/>
          <w14:textFill>
            <w14:solidFill>
              <w14:schemeClr w14:val="tx1"/>
            </w14:solidFill>
          </w14:textFill>
        </w:rPr>
        <w:t>，</w:t>
      </w:r>
      <w:r>
        <w:rPr>
          <w:rFonts w:hint="default" w:ascii="Times New Roman" w:hAnsi="Times New Roman" w:eastAsia="仿宋" w:cs="Times New Roman"/>
          <w:color w:val="000000" w:themeColor="text1"/>
          <w:sz w:val="28"/>
          <w:szCs w:val="28"/>
          <w14:textFill>
            <w14:solidFill>
              <w14:schemeClr w14:val="tx1"/>
            </w14:solidFill>
          </w14:textFill>
        </w:rPr>
        <w:t>均已按照苏环办(2024)16号的规定设置警示标志。暂存库按照《危险废物贮存污染控制标准》（GB18597-2023）建设，地面已作防渗处理，建有导流槽和废液收集池，各类危废分类堆放，贴有标签，危废库的废气收集后接入“</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活性炭吸附</w:t>
      </w:r>
      <w:r>
        <w:rPr>
          <w:rFonts w:hint="default" w:ascii="Times New Roman" w:hAnsi="Times New Roman" w:eastAsia="仿宋" w:cs="Times New Roman"/>
          <w:color w:val="000000" w:themeColor="text1"/>
          <w:sz w:val="28"/>
          <w:szCs w:val="28"/>
          <w14:textFill>
            <w14:solidFill>
              <w14:schemeClr w14:val="tx1"/>
            </w14:solidFill>
          </w14:textFill>
        </w:rPr>
        <w:t>”处置后经</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1</w:t>
      </w:r>
      <w:r>
        <w:rPr>
          <w:rFonts w:hint="default" w:ascii="Times New Roman" w:hAnsi="Times New Roman" w:eastAsia="仿宋" w:cs="Times New Roman"/>
          <w:color w:val="000000" w:themeColor="text1"/>
          <w:sz w:val="28"/>
          <w:szCs w:val="28"/>
          <w14:textFill>
            <w14:solidFill>
              <w14:schemeClr w14:val="tx1"/>
            </w14:solidFill>
          </w14:textFill>
        </w:rPr>
        <w:t>5米排气筒</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DA008</w:t>
      </w:r>
      <w:r>
        <w:rPr>
          <w:rFonts w:hint="default" w:ascii="Times New Roman" w:hAnsi="Times New Roman" w:eastAsia="仿宋" w:cs="Times New Roman"/>
          <w:color w:val="000000" w:themeColor="text1"/>
          <w:sz w:val="28"/>
          <w:szCs w:val="28"/>
          <w14:textFill>
            <w14:solidFill>
              <w14:schemeClr w14:val="tx1"/>
            </w14:solidFill>
          </w14:textFill>
        </w:rPr>
        <w:t>排放。</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危废仓库照片见表4.1-7。</w:t>
      </w:r>
    </w:p>
    <w:p w14:paraId="12EE18F7">
      <w:pPr>
        <w:spacing w:line="360" w:lineRule="auto"/>
        <w:ind w:firstLine="560"/>
        <w:jc w:val="left"/>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公司产生的危险废物在江苏省危险废物动态管理信息系统中申报登记，危废的转移处置执行转移联单制度，并保留了完善的相关台账资料。本项目固废处置情况如表4.1-</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8</w:t>
      </w:r>
      <w:r>
        <w:rPr>
          <w:rFonts w:hint="default" w:ascii="Times New Roman" w:hAnsi="Times New Roman" w:eastAsia="仿宋" w:cs="Times New Roman"/>
          <w:color w:val="000000" w:themeColor="text1"/>
          <w:sz w:val="28"/>
          <w:szCs w:val="28"/>
          <w14:textFill>
            <w14:solidFill>
              <w14:schemeClr w14:val="tx1"/>
            </w14:solidFill>
          </w14:textFill>
        </w:rPr>
        <w:t>所示。</w:t>
      </w:r>
    </w:p>
    <w:p w14:paraId="43D9604D">
      <w:pPr>
        <w:spacing w:line="360" w:lineRule="auto"/>
        <w:ind w:left="0" w:leftChars="0" w:firstLine="0" w:firstLineChars="0"/>
        <w:jc w:val="center"/>
        <w:rPr>
          <w:rFonts w:hint="default" w:ascii="Times New Roman" w:hAnsi="Times New Roman" w:eastAsia="仿宋" w:cs="Times New Roman"/>
          <w:b/>
          <w:bCs/>
          <w:color w:val="000000" w:themeColor="text1"/>
          <w:sz w:val="28"/>
          <w:szCs w:val="28"/>
          <w:lang w:val="en-US"/>
          <w14:textFill>
            <w14:solidFill>
              <w14:schemeClr w14:val="tx1"/>
            </w14:solidFill>
          </w14:textFill>
        </w:rPr>
      </w:pPr>
      <w:r>
        <w:rPr>
          <w:rFonts w:hint="default" w:ascii="Times New Roman" w:hAnsi="Times New Roman" w:eastAsia="仿宋" w:cs="Times New Roman"/>
          <w:b/>
          <w:bCs/>
          <w:color w:val="000000" w:themeColor="text1"/>
          <w:sz w:val="28"/>
          <w:szCs w:val="28"/>
          <w:lang w:val="en-US" w:eastAsia="zh-CN"/>
          <w14:textFill>
            <w14:solidFill>
              <w14:schemeClr w14:val="tx1"/>
            </w14:solidFill>
          </w14:textFill>
        </w:rPr>
        <w:t>表4.1-7 危废处理设置照片一览表</w:t>
      </w:r>
    </w:p>
    <w:tbl>
      <w:tblPr>
        <w:tblStyle w:val="25"/>
        <w:tblW w:w="8522" w:type="dxa"/>
        <w:jc w:val="center"/>
        <w:tblLayout w:type="fixed"/>
        <w:tblCellMar>
          <w:top w:w="0" w:type="dxa"/>
          <w:left w:w="108" w:type="dxa"/>
          <w:bottom w:w="0" w:type="dxa"/>
          <w:right w:w="108" w:type="dxa"/>
        </w:tblCellMar>
      </w:tblPr>
      <w:tblGrid>
        <w:gridCol w:w="4261"/>
        <w:gridCol w:w="4261"/>
      </w:tblGrid>
      <w:tr w14:paraId="054B2F52">
        <w:tblPrEx>
          <w:tblCellMar>
            <w:top w:w="0" w:type="dxa"/>
            <w:left w:w="108" w:type="dxa"/>
            <w:bottom w:w="0" w:type="dxa"/>
            <w:right w:w="108" w:type="dxa"/>
          </w:tblCellMar>
        </w:tblPrEx>
        <w:trPr>
          <w:trHeight w:val="340" w:hRule="atLeast"/>
          <w:jc w:val="center"/>
        </w:trPr>
        <w:tc>
          <w:tcPr>
            <w:tcW w:w="4261" w:type="dxa"/>
            <w:vAlign w:val="center"/>
          </w:tcPr>
          <w:p w14:paraId="43F65E74">
            <w:pPr>
              <w:snapToGrid w:val="0"/>
              <w:spacing w:line="240" w:lineRule="auto"/>
              <w:ind w:firstLine="0" w:firstLineChars="0"/>
              <w:jc w:val="center"/>
              <w:rPr>
                <w:rFonts w:hint="default" w:ascii="Times New Roman" w:hAnsi="Times New Roman" w:eastAsia="仿宋" w:cs="Times New Roman"/>
                <w:b/>
                <w:color w:val="000000" w:themeColor="text1"/>
                <w:szCs w:val="21"/>
                <w14:textFill>
                  <w14:solidFill>
                    <w14:schemeClr w14:val="tx1"/>
                  </w14:solidFill>
                </w14:textFill>
              </w:rPr>
            </w:pPr>
            <w:r>
              <w:rPr>
                <w:rFonts w:hint="default" w:ascii="Times New Roman" w:hAnsi="Times New Roman" w:cs="Times New Roman" w:eastAsiaTheme="minorEastAsia"/>
                <w:lang w:eastAsia="zh-CN"/>
              </w:rPr>
              <w:drawing>
                <wp:inline distT="0" distB="0" distL="114300" distR="114300">
                  <wp:extent cx="2160270" cy="1800225"/>
                  <wp:effectExtent l="0" t="0" r="11430" b="3175"/>
                  <wp:docPr id="69" name="图片 69" descr="453d3fda60c4e05cc010c3688d6a5df"/>
                  <wp:cNvGraphicFramePr/>
                  <a:graphic xmlns:a="http://schemas.openxmlformats.org/drawingml/2006/main">
                    <a:graphicData uri="http://schemas.openxmlformats.org/drawingml/2006/picture">
                      <pic:pic xmlns:pic="http://schemas.openxmlformats.org/drawingml/2006/picture">
                        <pic:nvPicPr>
                          <pic:cNvPr id="69" name="图片 69" descr="453d3fda60c4e05cc010c3688d6a5df"/>
                          <pic:cNvPicPr/>
                        </pic:nvPicPr>
                        <pic:blipFill>
                          <a:blip r:embed="rId16"/>
                          <a:stretch>
                            <a:fillRect/>
                          </a:stretch>
                        </pic:blipFill>
                        <pic:spPr>
                          <a:xfrm>
                            <a:off x="0" y="0"/>
                            <a:ext cx="2160270" cy="1800225"/>
                          </a:xfrm>
                          <a:prstGeom prst="rect">
                            <a:avLst/>
                          </a:prstGeom>
                        </pic:spPr>
                      </pic:pic>
                    </a:graphicData>
                  </a:graphic>
                </wp:inline>
              </w:drawing>
            </w:r>
          </w:p>
        </w:tc>
        <w:tc>
          <w:tcPr>
            <w:tcW w:w="4261" w:type="dxa"/>
            <w:vAlign w:val="center"/>
          </w:tcPr>
          <w:p w14:paraId="3B09602F">
            <w:pPr>
              <w:snapToGrid w:val="0"/>
              <w:spacing w:line="240" w:lineRule="auto"/>
              <w:ind w:firstLine="0" w:firstLineChars="0"/>
              <w:jc w:val="center"/>
              <w:rPr>
                <w:rFonts w:hint="default" w:ascii="Times New Roman" w:hAnsi="Times New Roman" w:cs="Times New Roman" w:eastAsiaTheme="minorEastAsia"/>
                <w:lang w:eastAsia="zh-CN"/>
              </w:rPr>
            </w:pPr>
            <w:r>
              <w:rPr>
                <w:rFonts w:hint="default" w:ascii="Times New Roman" w:hAnsi="Times New Roman" w:cs="Times New Roman"/>
              </w:rPr>
              <w:drawing>
                <wp:inline distT="0" distB="0" distL="114300" distR="114300">
                  <wp:extent cx="2086610" cy="1798955"/>
                  <wp:effectExtent l="0" t="0" r="8890" b="444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7"/>
                          <a:stretch>
                            <a:fillRect/>
                          </a:stretch>
                        </pic:blipFill>
                        <pic:spPr>
                          <a:xfrm>
                            <a:off x="0" y="0"/>
                            <a:ext cx="2086610" cy="1798955"/>
                          </a:xfrm>
                          <a:prstGeom prst="rect">
                            <a:avLst/>
                          </a:prstGeom>
                          <a:noFill/>
                          <a:ln>
                            <a:noFill/>
                          </a:ln>
                        </pic:spPr>
                      </pic:pic>
                    </a:graphicData>
                  </a:graphic>
                </wp:inline>
              </w:drawing>
            </w:r>
          </w:p>
        </w:tc>
      </w:tr>
      <w:tr w14:paraId="420E0008">
        <w:tblPrEx>
          <w:tblCellMar>
            <w:top w:w="0" w:type="dxa"/>
            <w:left w:w="108" w:type="dxa"/>
            <w:bottom w:w="0" w:type="dxa"/>
            <w:right w:w="108" w:type="dxa"/>
          </w:tblCellMar>
        </w:tblPrEx>
        <w:trPr>
          <w:trHeight w:val="340" w:hRule="atLeast"/>
          <w:jc w:val="center"/>
        </w:trPr>
        <w:tc>
          <w:tcPr>
            <w:tcW w:w="4261" w:type="dxa"/>
            <w:vAlign w:val="top"/>
          </w:tcPr>
          <w:p w14:paraId="38B35AC6">
            <w:pPr>
              <w:ind w:firstLine="482" w:firstLineChars="200"/>
              <w:jc w:val="center"/>
              <w:rPr>
                <w:rFonts w:hint="default" w:ascii="Times New Roman" w:hAnsi="Times New Roman" w:eastAsia="仿宋" w:cs="Times New Roman"/>
                <w:b/>
                <w:bCs/>
                <w:color w:val="000000" w:themeColor="text1"/>
                <w:szCs w:val="21"/>
                <w14:textFill>
                  <w14:solidFill>
                    <w14:schemeClr w14:val="tx1"/>
                  </w14:solidFill>
                </w14:textFill>
              </w:rPr>
            </w:pPr>
            <w:r>
              <w:rPr>
                <w:rFonts w:hint="default" w:ascii="Times New Roman" w:hAnsi="Times New Roman" w:eastAsia="仿宋_GB2312" w:cs="Times New Roman"/>
                <w:b/>
                <w:bCs/>
                <w:kern w:val="0"/>
                <w:sz w:val="24"/>
                <w:szCs w:val="24"/>
              </w:rPr>
              <w:t>危废仓库照片</w:t>
            </w:r>
          </w:p>
        </w:tc>
        <w:tc>
          <w:tcPr>
            <w:tcW w:w="4261" w:type="dxa"/>
            <w:vAlign w:val="top"/>
          </w:tcPr>
          <w:p w14:paraId="1CE2A329">
            <w:pPr>
              <w:ind w:firstLine="482" w:firstLineChars="200"/>
              <w:jc w:val="center"/>
              <w:rPr>
                <w:rFonts w:hint="default" w:ascii="Times New Roman" w:hAnsi="Times New Roman" w:eastAsia="仿宋_GB2312" w:cs="Times New Roman"/>
                <w:b/>
                <w:bCs/>
                <w:kern w:val="0"/>
                <w:sz w:val="24"/>
                <w:szCs w:val="24"/>
                <w:lang w:val="en-US" w:eastAsia="zh-CN"/>
              </w:rPr>
            </w:pPr>
            <w:r>
              <w:rPr>
                <w:rFonts w:hint="default" w:ascii="Times New Roman" w:hAnsi="Times New Roman" w:eastAsia="仿宋_GB2312" w:cs="Times New Roman"/>
                <w:b/>
                <w:bCs/>
                <w:kern w:val="0"/>
                <w:sz w:val="24"/>
                <w:szCs w:val="24"/>
                <w:lang w:val="en-US" w:eastAsia="zh-CN"/>
              </w:rPr>
              <w:t>地面防腐防渗照片</w:t>
            </w:r>
          </w:p>
        </w:tc>
      </w:tr>
      <w:tr w14:paraId="772402CF">
        <w:tblPrEx>
          <w:tblCellMar>
            <w:top w:w="0" w:type="dxa"/>
            <w:left w:w="108" w:type="dxa"/>
            <w:bottom w:w="0" w:type="dxa"/>
            <w:right w:w="108" w:type="dxa"/>
          </w:tblCellMar>
        </w:tblPrEx>
        <w:trPr>
          <w:trHeight w:val="340" w:hRule="atLeast"/>
          <w:jc w:val="center"/>
        </w:trPr>
        <w:tc>
          <w:tcPr>
            <w:tcW w:w="4261" w:type="dxa"/>
            <w:vAlign w:val="top"/>
          </w:tcPr>
          <w:p w14:paraId="1D0F9F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cs="Times New Roman"/>
              </w:rPr>
              <w:drawing>
                <wp:inline distT="0" distB="0" distL="114300" distR="114300">
                  <wp:extent cx="2566670" cy="1771015"/>
                  <wp:effectExtent l="0" t="0" r="11430" b="698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8"/>
                          <a:stretch>
                            <a:fillRect/>
                          </a:stretch>
                        </pic:blipFill>
                        <pic:spPr>
                          <a:xfrm>
                            <a:off x="0" y="0"/>
                            <a:ext cx="2566670" cy="1771015"/>
                          </a:xfrm>
                          <a:prstGeom prst="rect">
                            <a:avLst/>
                          </a:prstGeom>
                          <a:noFill/>
                          <a:ln>
                            <a:noFill/>
                          </a:ln>
                        </pic:spPr>
                      </pic:pic>
                    </a:graphicData>
                  </a:graphic>
                </wp:inline>
              </w:drawing>
            </w:r>
          </w:p>
        </w:tc>
        <w:tc>
          <w:tcPr>
            <w:tcW w:w="4261" w:type="dxa"/>
            <w:vAlign w:val="top"/>
          </w:tcPr>
          <w:p w14:paraId="3B3589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kern w:val="0"/>
                <w:sz w:val="24"/>
                <w:szCs w:val="24"/>
                <w:lang w:val="en-US" w:eastAsia="zh-CN"/>
              </w:rPr>
            </w:pPr>
            <w:r>
              <w:rPr>
                <w:rFonts w:hint="default" w:ascii="Times New Roman" w:hAnsi="Times New Roman" w:cs="Times New Roman"/>
              </w:rPr>
              <w:drawing>
                <wp:inline distT="0" distB="0" distL="114300" distR="114300">
                  <wp:extent cx="2562225" cy="1649730"/>
                  <wp:effectExtent l="0" t="0" r="3175"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tretch>
                            <a:fillRect/>
                          </a:stretch>
                        </pic:blipFill>
                        <pic:spPr>
                          <a:xfrm>
                            <a:off x="0" y="0"/>
                            <a:ext cx="2562225" cy="1649730"/>
                          </a:xfrm>
                          <a:prstGeom prst="rect">
                            <a:avLst/>
                          </a:prstGeom>
                          <a:noFill/>
                          <a:ln>
                            <a:noFill/>
                          </a:ln>
                        </pic:spPr>
                      </pic:pic>
                    </a:graphicData>
                  </a:graphic>
                </wp:inline>
              </w:drawing>
            </w:r>
          </w:p>
        </w:tc>
      </w:tr>
      <w:tr w14:paraId="035D94A9">
        <w:tblPrEx>
          <w:tblCellMar>
            <w:top w:w="0" w:type="dxa"/>
            <w:left w:w="108" w:type="dxa"/>
            <w:bottom w:w="0" w:type="dxa"/>
            <w:right w:w="108" w:type="dxa"/>
          </w:tblCellMar>
        </w:tblPrEx>
        <w:trPr>
          <w:trHeight w:val="340" w:hRule="atLeast"/>
          <w:jc w:val="center"/>
        </w:trPr>
        <w:tc>
          <w:tcPr>
            <w:tcW w:w="4261" w:type="dxa"/>
            <w:vAlign w:val="top"/>
          </w:tcPr>
          <w:p w14:paraId="16F8546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b/>
                <w:bCs/>
                <w:kern w:val="0"/>
                <w:sz w:val="24"/>
                <w:szCs w:val="24"/>
                <w:lang w:val="en-US" w:eastAsia="zh-CN"/>
              </w:rPr>
            </w:pPr>
            <w:r>
              <w:rPr>
                <w:rFonts w:hint="default" w:ascii="Times New Roman" w:hAnsi="Times New Roman" w:eastAsia="仿宋_GB2312" w:cs="Times New Roman"/>
                <w:b/>
                <w:bCs/>
                <w:kern w:val="0"/>
                <w:sz w:val="24"/>
                <w:szCs w:val="24"/>
                <w:lang w:val="en-US" w:eastAsia="zh-CN"/>
              </w:rPr>
              <w:t>内部监控照片</w:t>
            </w:r>
          </w:p>
        </w:tc>
        <w:tc>
          <w:tcPr>
            <w:tcW w:w="4261" w:type="dxa"/>
            <w:vAlign w:val="top"/>
          </w:tcPr>
          <w:p w14:paraId="4ADFC4DE">
            <w:pPr>
              <w:ind w:firstLine="482" w:firstLineChars="200"/>
              <w:jc w:val="center"/>
              <w:rPr>
                <w:rFonts w:hint="default" w:ascii="Times New Roman" w:hAnsi="Times New Roman" w:eastAsia="仿宋_GB2312" w:cs="Times New Roman"/>
                <w:b/>
                <w:bCs/>
                <w:kern w:val="0"/>
                <w:sz w:val="24"/>
                <w:szCs w:val="24"/>
                <w:lang w:val="en-US" w:eastAsia="zh-CN"/>
              </w:rPr>
            </w:pPr>
            <w:r>
              <w:rPr>
                <w:rFonts w:hint="default" w:ascii="Times New Roman" w:hAnsi="Times New Roman" w:eastAsia="仿宋_GB2312" w:cs="Times New Roman"/>
                <w:b/>
                <w:bCs/>
                <w:kern w:val="0"/>
                <w:sz w:val="24"/>
                <w:szCs w:val="24"/>
                <w:lang w:val="en-US" w:eastAsia="zh-CN"/>
              </w:rPr>
              <w:t>危废仓库收集井照片</w:t>
            </w:r>
          </w:p>
        </w:tc>
      </w:tr>
      <w:tr w14:paraId="059F7FAC">
        <w:tblPrEx>
          <w:tblCellMar>
            <w:top w:w="0" w:type="dxa"/>
            <w:left w:w="108" w:type="dxa"/>
            <w:bottom w:w="0" w:type="dxa"/>
            <w:right w:w="108" w:type="dxa"/>
          </w:tblCellMar>
        </w:tblPrEx>
        <w:trPr>
          <w:trHeight w:val="340" w:hRule="atLeast"/>
          <w:jc w:val="center"/>
        </w:trPr>
        <w:tc>
          <w:tcPr>
            <w:tcW w:w="4261" w:type="dxa"/>
            <w:vAlign w:val="top"/>
          </w:tcPr>
          <w:p w14:paraId="28BAEF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cs="Times New Roman"/>
              </w:rPr>
              <w:drawing>
                <wp:inline distT="0" distB="0" distL="114300" distR="114300">
                  <wp:extent cx="2564130" cy="2040255"/>
                  <wp:effectExtent l="0" t="0" r="1270" b="444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0"/>
                          <a:stretch>
                            <a:fillRect/>
                          </a:stretch>
                        </pic:blipFill>
                        <pic:spPr>
                          <a:xfrm>
                            <a:off x="0" y="0"/>
                            <a:ext cx="2564130" cy="2040255"/>
                          </a:xfrm>
                          <a:prstGeom prst="rect">
                            <a:avLst/>
                          </a:prstGeom>
                          <a:noFill/>
                          <a:ln>
                            <a:noFill/>
                          </a:ln>
                        </pic:spPr>
                      </pic:pic>
                    </a:graphicData>
                  </a:graphic>
                </wp:inline>
              </w:drawing>
            </w:r>
          </w:p>
        </w:tc>
        <w:tc>
          <w:tcPr>
            <w:tcW w:w="4261" w:type="dxa"/>
            <w:vAlign w:val="top"/>
          </w:tcPr>
          <w:p w14:paraId="3DB2E7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kern w:val="0"/>
                <w:sz w:val="24"/>
                <w:szCs w:val="24"/>
                <w:lang w:val="en-US" w:eastAsia="zh-CN"/>
              </w:rPr>
            </w:pPr>
            <w:r>
              <w:rPr>
                <w:rFonts w:hint="default" w:ascii="Times New Roman" w:hAnsi="Times New Roman" w:cs="Times New Roman"/>
              </w:rPr>
              <w:drawing>
                <wp:inline distT="0" distB="0" distL="114300" distR="114300">
                  <wp:extent cx="2387600" cy="2052955"/>
                  <wp:effectExtent l="0" t="0" r="0" b="444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1"/>
                          <a:stretch>
                            <a:fillRect/>
                          </a:stretch>
                        </pic:blipFill>
                        <pic:spPr>
                          <a:xfrm>
                            <a:off x="0" y="0"/>
                            <a:ext cx="2387600" cy="2052955"/>
                          </a:xfrm>
                          <a:prstGeom prst="rect">
                            <a:avLst/>
                          </a:prstGeom>
                          <a:noFill/>
                          <a:ln>
                            <a:noFill/>
                          </a:ln>
                        </pic:spPr>
                      </pic:pic>
                    </a:graphicData>
                  </a:graphic>
                </wp:inline>
              </w:drawing>
            </w:r>
          </w:p>
        </w:tc>
      </w:tr>
      <w:tr w14:paraId="07735E94">
        <w:tblPrEx>
          <w:tblCellMar>
            <w:top w:w="0" w:type="dxa"/>
            <w:left w:w="108" w:type="dxa"/>
            <w:bottom w:w="0" w:type="dxa"/>
            <w:right w:w="108" w:type="dxa"/>
          </w:tblCellMar>
        </w:tblPrEx>
        <w:trPr>
          <w:trHeight w:val="340" w:hRule="atLeast"/>
          <w:jc w:val="center"/>
        </w:trPr>
        <w:tc>
          <w:tcPr>
            <w:tcW w:w="4261" w:type="dxa"/>
            <w:vAlign w:val="top"/>
          </w:tcPr>
          <w:p w14:paraId="0DD42F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kern w:val="0"/>
                <w:sz w:val="24"/>
                <w:szCs w:val="24"/>
                <w:lang w:val="en-US" w:eastAsia="zh-CN"/>
              </w:rPr>
            </w:pPr>
            <w:r>
              <w:rPr>
                <w:rFonts w:hint="default" w:ascii="Times New Roman" w:hAnsi="Times New Roman" w:eastAsia="仿宋_GB2312" w:cs="Times New Roman"/>
                <w:b/>
                <w:bCs/>
                <w:kern w:val="0"/>
                <w:sz w:val="24"/>
                <w:szCs w:val="24"/>
                <w:lang w:val="en-US" w:eastAsia="zh-CN"/>
              </w:rPr>
              <w:t>危废信息公开照片</w:t>
            </w:r>
          </w:p>
        </w:tc>
        <w:tc>
          <w:tcPr>
            <w:tcW w:w="4261" w:type="dxa"/>
            <w:vAlign w:val="top"/>
          </w:tcPr>
          <w:p w14:paraId="5E5001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kern w:val="0"/>
                <w:sz w:val="24"/>
                <w:szCs w:val="24"/>
                <w:lang w:val="en-US" w:eastAsia="zh-CN"/>
              </w:rPr>
            </w:pPr>
            <w:r>
              <w:rPr>
                <w:rFonts w:hint="default" w:ascii="Times New Roman" w:hAnsi="Times New Roman" w:eastAsia="仿宋_GB2312" w:cs="Times New Roman"/>
                <w:b/>
                <w:bCs/>
                <w:kern w:val="0"/>
                <w:sz w:val="24"/>
                <w:szCs w:val="24"/>
                <w:lang w:val="en-US" w:eastAsia="zh-CN"/>
              </w:rPr>
              <w:t>尾气吸收照片</w:t>
            </w:r>
          </w:p>
        </w:tc>
      </w:tr>
    </w:tbl>
    <w:p w14:paraId="10D78116">
      <w:pPr>
        <w:pStyle w:val="3"/>
        <w:spacing w:before="156" w:after="156"/>
        <w:ind w:firstLine="0" w:firstLineChars="0"/>
        <w:rPr>
          <w:rFonts w:hint="default" w:ascii="Times New Roman" w:hAnsi="Times New Roman" w:eastAsia="仿宋" w:cs="Times New Roman"/>
          <w:b/>
          <w:bCs/>
          <w:color w:val="000000" w:themeColor="text1"/>
          <w:sz w:val="28"/>
          <w:szCs w:val="28"/>
          <w14:textFill>
            <w14:solidFill>
              <w14:schemeClr w14:val="tx1"/>
            </w14:solidFill>
          </w14:textFill>
        </w:rPr>
      </w:pPr>
      <w:bookmarkStart w:id="54" w:name="_Toc8418"/>
      <w:r>
        <w:rPr>
          <w:rFonts w:hint="default" w:ascii="Times New Roman" w:hAnsi="Times New Roman" w:eastAsia="仿宋" w:cs="Times New Roman"/>
          <w:b/>
          <w:bCs/>
          <w:color w:val="000000" w:themeColor="text1"/>
          <w:sz w:val="28"/>
          <w:szCs w:val="28"/>
          <w14:textFill>
            <w14:solidFill>
              <w14:schemeClr w14:val="tx1"/>
            </w14:solidFill>
          </w14:textFill>
        </w:rPr>
        <w:t>涉密删除。</w:t>
      </w:r>
    </w:p>
    <w:p w14:paraId="0DA617DD">
      <w:pPr>
        <w:pStyle w:val="3"/>
        <w:spacing w:before="156" w:after="156"/>
        <w:ind w:firstLine="0" w:firstLineChars="0"/>
        <w:rPr>
          <w:rFonts w:hint="default" w:ascii="Times New Roman" w:hAnsi="Times New Roman" w:cs="Times New Roman"/>
          <w:color w:val="000000"/>
        </w:rPr>
      </w:pPr>
      <w:r>
        <w:rPr>
          <w:rFonts w:hint="default" w:ascii="Times New Roman" w:hAnsi="Times New Roman" w:cs="Times New Roman"/>
          <w:color w:val="000000"/>
        </w:rPr>
        <w:t>4.2 其他环保设施</w:t>
      </w:r>
      <w:bookmarkEnd w:id="52"/>
      <w:bookmarkEnd w:id="54"/>
    </w:p>
    <w:p w14:paraId="7102C43B">
      <w:pPr>
        <w:pStyle w:val="4"/>
        <w:spacing w:before="163" w:after="163"/>
        <w:rPr>
          <w:rFonts w:hint="default" w:ascii="Times New Roman" w:hAnsi="Times New Roman" w:cs="Times New Roman"/>
          <w:color w:val="000000"/>
        </w:rPr>
      </w:pPr>
      <w:bookmarkStart w:id="55" w:name="_Toc520410250"/>
      <w:r>
        <w:rPr>
          <w:rFonts w:hint="default" w:ascii="Times New Roman" w:hAnsi="Times New Roman" w:cs="Times New Roman"/>
          <w:color w:val="000000"/>
        </w:rPr>
        <w:t>4.2.1 环境风险防范设施</w:t>
      </w:r>
      <w:bookmarkEnd w:id="55"/>
    </w:p>
    <w:p w14:paraId="68F00A05">
      <w:pPr>
        <w:spacing w:line="360" w:lineRule="auto"/>
        <w:ind w:firstLine="560"/>
        <w:jc w:val="left"/>
        <w:rPr>
          <w:rFonts w:hint="default" w:ascii="Times New Roman" w:hAnsi="Times New Roman" w:eastAsia="仿宋" w:cs="Times New Roman"/>
          <w:color w:val="000000" w:themeColor="text1"/>
          <w:sz w:val="28"/>
          <w:szCs w:val="28"/>
          <w14:textFill>
            <w14:solidFill>
              <w14:schemeClr w14:val="tx1"/>
            </w14:solidFill>
          </w14:textFill>
        </w:rPr>
      </w:pPr>
      <w:bookmarkStart w:id="56" w:name="_Hlk520382290"/>
      <w:bookmarkStart w:id="57" w:name="_Hlk520391176"/>
      <w:r>
        <w:rPr>
          <w:rFonts w:hint="default" w:ascii="Times New Roman" w:hAnsi="Times New Roman" w:eastAsia="仿宋" w:cs="Times New Roman"/>
          <w:color w:val="000000" w:themeColor="text1"/>
          <w:sz w:val="28"/>
          <w:szCs w:val="28"/>
          <w14:textFill>
            <w14:solidFill>
              <w14:schemeClr w14:val="tx1"/>
            </w14:solidFill>
          </w14:textFill>
        </w:rPr>
        <w:t>本公司已编制环境风险应急预案，应急预案包含本项目相关内容，并于202</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4</w:t>
      </w:r>
      <w:r>
        <w:rPr>
          <w:rFonts w:hint="default" w:ascii="Times New Roman" w:hAnsi="Times New Roman" w:eastAsia="仿宋" w:cs="Times New Roman"/>
          <w:color w:val="000000" w:themeColor="text1"/>
          <w:sz w:val="28"/>
          <w:szCs w:val="28"/>
          <w14:textFill>
            <w14:solidFill>
              <w14:schemeClr w14:val="tx1"/>
            </w14:solidFill>
          </w14:textFill>
        </w:rPr>
        <w:t>年</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1</w:t>
      </w:r>
      <w:r>
        <w:rPr>
          <w:rFonts w:hint="default" w:ascii="Times New Roman" w:hAnsi="Times New Roman" w:eastAsia="仿宋" w:cs="Times New Roman"/>
          <w:color w:val="000000" w:themeColor="text1"/>
          <w:sz w:val="28"/>
          <w:szCs w:val="28"/>
          <w14:textFill>
            <w14:solidFill>
              <w14:schemeClr w14:val="tx1"/>
            </w14:solidFill>
          </w14:textFill>
        </w:rPr>
        <w:t>月</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29</w:t>
      </w:r>
      <w:r>
        <w:rPr>
          <w:rFonts w:hint="default" w:ascii="Times New Roman" w:hAnsi="Times New Roman" w:eastAsia="仿宋" w:cs="Times New Roman"/>
          <w:color w:val="000000" w:themeColor="text1"/>
          <w:sz w:val="28"/>
          <w:szCs w:val="28"/>
          <w14:textFill>
            <w14:solidFill>
              <w14:schemeClr w14:val="tx1"/>
            </w14:solidFill>
          </w14:textFill>
        </w:rPr>
        <w:t>日在南通市如东生态环境局备案（备案编号：320623-202</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4</w:t>
      </w:r>
      <w:r>
        <w:rPr>
          <w:rFonts w:hint="default" w:ascii="Times New Roman" w:hAnsi="Times New Roman" w:eastAsia="仿宋" w:cs="Times New Roman"/>
          <w:color w:val="000000" w:themeColor="text1"/>
          <w:sz w:val="28"/>
          <w:szCs w:val="28"/>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033</w:t>
      </w:r>
      <w:r>
        <w:rPr>
          <w:rFonts w:hint="default" w:ascii="Times New Roman" w:hAnsi="Times New Roman" w:eastAsia="仿宋" w:cs="Times New Roman"/>
          <w:color w:val="000000" w:themeColor="text1"/>
          <w:sz w:val="28"/>
          <w:szCs w:val="28"/>
          <w14:textFill>
            <w14:solidFill>
              <w14:schemeClr w14:val="tx1"/>
            </w14:solidFill>
          </w14:textFill>
        </w:rPr>
        <w:t>-M）。</w:t>
      </w:r>
    </w:p>
    <w:p w14:paraId="58C77D67">
      <w:pPr>
        <w:spacing w:line="360" w:lineRule="auto"/>
        <w:ind w:firstLine="560"/>
        <w:jc w:val="left"/>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公司新建1座</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760</w:t>
      </w:r>
      <w:r>
        <w:rPr>
          <w:rFonts w:hint="default" w:ascii="Times New Roman" w:hAnsi="Times New Roman" w:eastAsia="仿宋" w:cs="Times New Roman"/>
          <w:color w:val="000000" w:themeColor="text1"/>
          <w:sz w:val="28"/>
          <w:szCs w:val="28"/>
          <w14:textFill>
            <w14:solidFill>
              <w14:schemeClr w14:val="tx1"/>
            </w14:solidFill>
          </w14:textFill>
        </w:rPr>
        <w:t>m</w:t>
      </w:r>
      <w:r>
        <w:rPr>
          <w:rFonts w:hint="default" w:ascii="Times New Roman" w:hAnsi="Times New Roman" w:eastAsia="仿宋" w:cs="Times New Roman"/>
          <w:color w:val="000000" w:themeColor="text1"/>
          <w:sz w:val="28"/>
          <w:szCs w:val="28"/>
          <w:vertAlign w:val="superscript"/>
          <w:lang w:val="en-US" w:eastAsia="zh-CN"/>
          <w14:textFill>
            <w14:solidFill>
              <w14:schemeClr w14:val="tx1"/>
            </w14:solidFill>
          </w14:textFill>
        </w:rPr>
        <w:t>3</w:t>
      </w:r>
      <w:r>
        <w:rPr>
          <w:rFonts w:hint="default" w:ascii="Times New Roman" w:hAnsi="Times New Roman" w:eastAsia="仿宋" w:cs="Times New Roman"/>
          <w:color w:val="000000" w:themeColor="text1"/>
          <w:sz w:val="28"/>
          <w:szCs w:val="28"/>
          <w14:textFill>
            <w14:solidFill>
              <w14:schemeClr w14:val="tx1"/>
            </w14:solidFill>
          </w14:textFill>
        </w:rPr>
        <w:t>应急事故池</w:t>
      </w:r>
      <w:r>
        <w:rPr>
          <w:rFonts w:hint="default" w:ascii="Times New Roman" w:hAnsi="Times New Roman" w:eastAsia="仿宋" w:cs="Times New Roman"/>
          <w:color w:val="000000" w:themeColor="text1"/>
          <w:sz w:val="28"/>
          <w:szCs w:val="28"/>
          <w:lang w:eastAsia="zh-CN"/>
          <w14:textFill>
            <w14:solidFill>
              <w14:schemeClr w14:val="tx1"/>
            </w14:solidFill>
          </w14:textFill>
        </w:rPr>
        <w:t>，</w:t>
      </w:r>
      <w:r>
        <w:rPr>
          <w:rFonts w:hint="default" w:ascii="Times New Roman" w:hAnsi="Times New Roman" w:eastAsia="仿宋" w:cs="Times New Roman"/>
          <w:color w:val="000000" w:themeColor="text1"/>
          <w:sz w:val="28"/>
          <w:szCs w:val="28"/>
          <w14:textFill>
            <w14:solidFill>
              <w14:schemeClr w14:val="tx1"/>
            </w14:solidFill>
          </w14:textFill>
        </w:rPr>
        <w:t>1座初期雨水池</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760</w:t>
      </w:r>
      <w:r>
        <w:rPr>
          <w:rFonts w:hint="default" w:ascii="Times New Roman" w:hAnsi="Times New Roman" w:eastAsia="仿宋" w:cs="Times New Roman"/>
          <w:color w:val="000000" w:themeColor="text1"/>
          <w:sz w:val="28"/>
          <w:szCs w:val="28"/>
          <w14:textFill>
            <w14:solidFill>
              <w14:schemeClr w14:val="tx1"/>
            </w14:solidFill>
          </w14:textFill>
        </w:rPr>
        <w:t>m</w:t>
      </w:r>
      <w:r>
        <w:rPr>
          <w:rFonts w:hint="default" w:ascii="Times New Roman" w:hAnsi="Times New Roman" w:eastAsia="仿宋" w:cs="Times New Roman"/>
          <w:color w:val="000000" w:themeColor="text1"/>
          <w:sz w:val="28"/>
          <w:szCs w:val="28"/>
          <w:vertAlign w:val="superscript"/>
          <w:lang w:val="en-US" w:eastAsia="zh-CN"/>
          <w14:textFill>
            <w14:solidFill>
              <w14:schemeClr w14:val="tx1"/>
            </w14:solidFill>
          </w14:textFill>
        </w:rPr>
        <w:t>3</w:t>
      </w:r>
      <w:r>
        <w:rPr>
          <w:rFonts w:hint="default" w:ascii="Times New Roman" w:hAnsi="Times New Roman" w:eastAsia="仿宋" w:cs="Times New Roman"/>
          <w:color w:val="000000" w:themeColor="text1"/>
          <w:sz w:val="28"/>
          <w:szCs w:val="28"/>
          <w14:textFill>
            <w14:solidFill>
              <w14:schemeClr w14:val="tx1"/>
            </w14:solidFill>
          </w14:textFill>
        </w:rPr>
        <w:t>以及自动报警系统、应急监测措施、应急物资等，配备雨污管网切换阀等;车间内新增自动报警系统应急监测措施、应急物资、导流沟、DCS 控制系统、自动报警系统、可燃气体报警器等，事故废水泵送到事故应急池，并设有提升泵，能将事故废水泵送至污水处理站</w:t>
      </w:r>
      <w:r>
        <w:rPr>
          <w:rFonts w:hint="default" w:ascii="Times New Roman" w:hAnsi="Times New Roman" w:eastAsia="仿宋" w:cs="Times New Roman"/>
          <w:color w:val="000000" w:themeColor="text1"/>
          <w:sz w:val="28"/>
          <w:szCs w:val="28"/>
          <w:lang w:eastAsia="zh-CN"/>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可满足暂存突发事故废水要求</w:t>
      </w:r>
      <w:r>
        <w:rPr>
          <w:rFonts w:hint="default" w:ascii="Times New Roman" w:hAnsi="Times New Roman" w:eastAsia="仿宋" w:cs="Times New Roman"/>
          <w:color w:val="000000" w:themeColor="text1"/>
          <w:sz w:val="28"/>
          <w:szCs w:val="28"/>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公司主要环境风险防范措施照片见表4.2-1。</w:t>
      </w:r>
    </w:p>
    <w:p w14:paraId="51E5511B">
      <w:pPr>
        <w:spacing w:line="360" w:lineRule="auto"/>
        <w:ind w:firstLine="0" w:firstLineChars="0"/>
        <w:jc w:val="center"/>
        <w:rPr>
          <w:rFonts w:hint="default" w:ascii="Times New Roman" w:hAnsi="Times New Roman" w:eastAsia="仿宋" w:cs="Times New Roman"/>
          <w:b/>
          <w:color w:val="000000" w:themeColor="text1"/>
          <w:sz w:val="28"/>
          <w:szCs w:val="28"/>
          <w14:textFill>
            <w14:solidFill>
              <w14:schemeClr w14:val="tx1"/>
            </w14:solidFill>
          </w14:textFill>
        </w:rPr>
      </w:pPr>
    </w:p>
    <w:p w14:paraId="5B070C7A">
      <w:pPr>
        <w:spacing w:line="360" w:lineRule="auto"/>
        <w:ind w:firstLine="0" w:firstLineChars="0"/>
        <w:jc w:val="center"/>
        <w:rPr>
          <w:rFonts w:hint="default" w:ascii="Times New Roman" w:hAnsi="Times New Roman" w:eastAsia="仿宋" w:cs="Times New Roman"/>
          <w:b/>
          <w:color w:val="000000" w:themeColor="text1"/>
          <w:sz w:val="28"/>
          <w:szCs w:val="28"/>
          <w14:textFill>
            <w14:solidFill>
              <w14:schemeClr w14:val="tx1"/>
            </w14:solidFill>
          </w14:textFill>
        </w:rPr>
      </w:pPr>
    </w:p>
    <w:p w14:paraId="695AF915">
      <w:pPr>
        <w:spacing w:line="360" w:lineRule="auto"/>
        <w:ind w:firstLine="0" w:firstLineChars="0"/>
        <w:jc w:val="center"/>
        <w:rPr>
          <w:rFonts w:hint="default" w:ascii="Times New Roman" w:hAnsi="Times New Roman" w:eastAsia="仿宋" w:cs="Times New Roman"/>
          <w:b/>
          <w:color w:val="000000" w:themeColor="text1"/>
          <w:sz w:val="28"/>
          <w:szCs w:val="28"/>
          <w14:textFill>
            <w14:solidFill>
              <w14:schemeClr w14:val="tx1"/>
            </w14:solidFill>
          </w14:textFill>
        </w:rPr>
      </w:pPr>
    </w:p>
    <w:p w14:paraId="5BBABB2B">
      <w:pPr>
        <w:spacing w:line="360" w:lineRule="auto"/>
        <w:ind w:firstLine="0" w:firstLineChars="0"/>
        <w:jc w:val="center"/>
        <w:rPr>
          <w:rFonts w:hint="default" w:ascii="Times New Roman" w:hAnsi="Times New Roman" w:eastAsia="仿宋" w:cs="Times New Roman"/>
          <w:b/>
          <w:color w:val="000000" w:themeColor="text1"/>
          <w:sz w:val="28"/>
          <w:szCs w:val="28"/>
          <w14:textFill>
            <w14:solidFill>
              <w14:schemeClr w14:val="tx1"/>
            </w14:solidFill>
          </w14:textFill>
        </w:rPr>
      </w:pPr>
    </w:p>
    <w:p w14:paraId="35842466">
      <w:pPr>
        <w:spacing w:line="360" w:lineRule="auto"/>
        <w:ind w:firstLine="0" w:firstLineChars="0"/>
        <w:jc w:val="center"/>
        <w:rPr>
          <w:rFonts w:hint="default" w:ascii="Times New Roman" w:hAnsi="Times New Roman" w:eastAsia="仿宋" w:cs="Times New Roman"/>
          <w:b/>
          <w:color w:val="000000" w:themeColor="text1"/>
          <w:sz w:val="28"/>
          <w:szCs w:val="28"/>
          <w14:textFill>
            <w14:solidFill>
              <w14:schemeClr w14:val="tx1"/>
            </w14:solidFill>
          </w14:textFill>
        </w:rPr>
      </w:pPr>
    </w:p>
    <w:p w14:paraId="2640B2CD">
      <w:pPr>
        <w:spacing w:line="360" w:lineRule="auto"/>
        <w:ind w:firstLine="0" w:firstLineChars="0"/>
        <w:jc w:val="center"/>
        <w:rPr>
          <w:rFonts w:hint="default" w:ascii="Times New Roman" w:hAnsi="Times New Roman" w:eastAsia="仿宋" w:cs="Times New Roman"/>
          <w:b/>
          <w:color w:val="000000" w:themeColor="text1"/>
          <w:sz w:val="28"/>
          <w:szCs w:val="28"/>
          <w14:textFill>
            <w14:solidFill>
              <w14:schemeClr w14:val="tx1"/>
            </w14:solidFill>
          </w14:textFill>
        </w:rPr>
      </w:pPr>
      <w:r>
        <w:rPr>
          <w:rFonts w:hint="default" w:ascii="Times New Roman" w:hAnsi="Times New Roman" w:eastAsia="仿宋" w:cs="Times New Roman"/>
          <w:b/>
          <w:color w:val="000000" w:themeColor="text1"/>
          <w:sz w:val="28"/>
          <w:szCs w:val="28"/>
          <w14:textFill>
            <w14:solidFill>
              <w14:schemeClr w14:val="tx1"/>
            </w14:solidFill>
          </w14:textFill>
        </w:rPr>
        <w:t xml:space="preserve">表4.2-1   </w:t>
      </w:r>
      <w:r>
        <w:rPr>
          <w:rFonts w:hint="default" w:ascii="Times New Roman" w:hAnsi="Times New Roman" w:eastAsia="仿宋" w:cs="Times New Roman"/>
          <w:b/>
          <w:color w:val="000000" w:themeColor="text1"/>
          <w:sz w:val="28"/>
          <w:szCs w:val="28"/>
          <w:lang w:val="en-US" w:eastAsia="zh-CN"/>
          <w14:textFill>
            <w14:solidFill>
              <w14:schemeClr w14:val="tx1"/>
            </w14:solidFill>
          </w14:textFill>
        </w:rPr>
        <w:t>主要环境风险防范措施照片</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182F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1" w:hRule="atLeast"/>
        </w:trPr>
        <w:tc>
          <w:tcPr>
            <w:tcW w:w="4261" w:type="dxa"/>
            <w:vAlign w:val="center"/>
          </w:tcPr>
          <w:p w14:paraId="4BA7A0F5">
            <w:pPr>
              <w:snapToGrid w:val="0"/>
              <w:spacing w:line="240" w:lineRule="auto"/>
              <w:ind w:firstLine="0" w:firstLineChars="0"/>
              <w:jc w:val="center"/>
              <w:rPr>
                <w:rFonts w:hint="default" w:ascii="Times New Roman" w:hAnsi="Times New Roman" w:eastAsia="仿宋" w:cs="Times New Roman"/>
                <w:b/>
                <w:color w:val="000000" w:themeColor="text1"/>
                <w:sz w:val="24"/>
                <w:szCs w:val="24"/>
                <w14:textFill>
                  <w14:solidFill>
                    <w14:schemeClr w14:val="tx1"/>
                  </w14:solidFill>
                </w14:textFill>
              </w:rPr>
            </w:pPr>
            <w:r>
              <w:rPr>
                <w:rFonts w:hint="default" w:ascii="Times New Roman" w:hAnsi="Times New Roman" w:cs="Times New Roman"/>
                <w:sz w:val="24"/>
                <w:szCs w:val="24"/>
              </w:rPr>
              <w:drawing>
                <wp:inline distT="0" distB="0" distL="114300" distR="114300">
                  <wp:extent cx="2566035" cy="1852295"/>
                  <wp:effectExtent l="0" t="0" r="12065" b="190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2"/>
                          <a:stretch>
                            <a:fillRect/>
                          </a:stretch>
                        </pic:blipFill>
                        <pic:spPr>
                          <a:xfrm>
                            <a:off x="0" y="0"/>
                            <a:ext cx="2566035" cy="1852295"/>
                          </a:xfrm>
                          <a:prstGeom prst="rect">
                            <a:avLst/>
                          </a:prstGeom>
                          <a:noFill/>
                          <a:ln>
                            <a:noFill/>
                          </a:ln>
                        </pic:spPr>
                      </pic:pic>
                    </a:graphicData>
                  </a:graphic>
                </wp:inline>
              </w:drawing>
            </w:r>
          </w:p>
        </w:tc>
        <w:tc>
          <w:tcPr>
            <w:tcW w:w="4261" w:type="dxa"/>
            <w:vAlign w:val="center"/>
          </w:tcPr>
          <w:p w14:paraId="1E46EAEF">
            <w:pPr>
              <w:widowControl/>
              <w:snapToGrid w:val="0"/>
              <w:spacing w:line="240" w:lineRule="auto"/>
              <w:ind w:firstLine="0" w:firstLineChars="0"/>
              <w:jc w:val="center"/>
              <w:rPr>
                <w:rFonts w:hint="default" w:ascii="Times New Roman" w:hAnsi="Times New Roman" w:eastAsia="仿宋" w:cs="Times New Roman"/>
                <w:b/>
                <w:color w:val="000000" w:themeColor="text1"/>
                <w:sz w:val="24"/>
                <w:szCs w:val="24"/>
                <w14:textFill>
                  <w14:solidFill>
                    <w14:schemeClr w14:val="tx1"/>
                  </w14:solidFill>
                </w14:textFill>
              </w:rPr>
            </w:pPr>
            <w:r>
              <w:rPr>
                <w:rFonts w:hint="default" w:ascii="Times New Roman" w:hAnsi="Times New Roman" w:cs="Times New Roman"/>
                <w:sz w:val="24"/>
                <w:szCs w:val="24"/>
              </w:rPr>
              <w:drawing>
                <wp:inline distT="0" distB="0" distL="114300" distR="114300">
                  <wp:extent cx="2566035" cy="1610360"/>
                  <wp:effectExtent l="0" t="0" r="12065" b="254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23"/>
                          <a:stretch>
                            <a:fillRect/>
                          </a:stretch>
                        </pic:blipFill>
                        <pic:spPr>
                          <a:xfrm>
                            <a:off x="0" y="0"/>
                            <a:ext cx="2566035" cy="1610360"/>
                          </a:xfrm>
                          <a:prstGeom prst="rect">
                            <a:avLst/>
                          </a:prstGeom>
                          <a:noFill/>
                          <a:ln>
                            <a:noFill/>
                          </a:ln>
                        </pic:spPr>
                      </pic:pic>
                    </a:graphicData>
                  </a:graphic>
                </wp:inline>
              </w:drawing>
            </w:r>
          </w:p>
        </w:tc>
      </w:tr>
      <w:tr w14:paraId="6B69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1BC49B52">
            <w:pPr>
              <w:snapToGrid w:val="0"/>
              <w:spacing w:line="240" w:lineRule="auto"/>
              <w:ind w:firstLine="0" w:firstLineChars="0"/>
              <w:jc w:val="center"/>
              <w:rPr>
                <w:rFonts w:hint="default" w:ascii="Times New Roman" w:hAnsi="Times New Roman" w:eastAsia="仿宋" w:cs="Times New Roman"/>
                <w:b/>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b/>
                <w:color w:val="000000" w:themeColor="text1"/>
                <w:sz w:val="24"/>
                <w:szCs w:val="24"/>
                <w:lang w:val="en-US" w:eastAsia="zh-CN"/>
                <w14:textFill>
                  <w14:solidFill>
                    <w14:schemeClr w14:val="tx1"/>
                  </w14:solidFill>
                </w14:textFill>
              </w:rPr>
              <w:t>应急池</w:t>
            </w:r>
          </w:p>
        </w:tc>
        <w:tc>
          <w:tcPr>
            <w:tcW w:w="4261" w:type="dxa"/>
            <w:vAlign w:val="center"/>
          </w:tcPr>
          <w:p w14:paraId="0EE1758A">
            <w:pPr>
              <w:snapToGrid w:val="0"/>
              <w:spacing w:line="240" w:lineRule="auto"/>
              <w:ind w:firstLine="0" w:firstLineChars="0"/>
              <w:jc w:val="center"/>
              <w:rPr>
                <w:rFonts w:hint="default" w:ascii="Times New Roman" w:hAnsi="Times New Roman" w:eastAsia="仿宋" w:cs="Times New Roman"/>
                <w:b/>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b/>
                <w:color w:val="000000" w:themeColor="text1"/>
                <w:sz w:val="24"/>
                <w:szCs w:val="24"/>
                <w:lang w:val="en-US" w:eastAsia="zh-CN"/>
                <w14:textFill>
                  <w14:solidFill>
                    <w14:schemeClr w14:val="tx1"/>
                  </w14:solidFill>
                </w14:textFill>
              </w:rPr>
              <w:t>雨水排口</w:t>
            </w:r>
          </w:p>
        </w:tc>
      </w:tr>
      <w:tr w14:paraId="7C58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1" w:hRule="atLeast"/>
        </w:trPr>
        <w:tc>
          <w:tcPr>
            <w:tcW w:w="4261" w:type="dxa"/>
            <w:vAlign w:val="center"/>
          </w:tcPr>
          <w:p w14:paraId="5E447E1E">
            <w:pPr>
              <w:snapToGrid w:val="0"/>
              <w:spacing w:line="240" w:lineRule="auto"/>
              <w:ind w:firstLine="0" w:firstLineChars="0"/>
              <w:jc w:val="center"/>
              <w:rPr>
                <w:rFonts w:hint="default" w:ascii="Times New Roman" w:hAnsi="Times New Roman" w:eastAsia="仿宋" w:cs="Times New Roman"/>
                <w:b/>
                <w:color w:val="000000" w:themeColor="text1"/>
                <w:sz w:val="24"/>
                <w:szCs w:val="24"/>
                <w14:textFill>
                  <w14:solidFill>
                    <w14:schemeClr w14:val="tx1"/>
                  </w14:solidFill>
                </w14:textFill>
              </w:rPr>
            </w:pPr>
            <w:r>
              <w:rPr>
                <w:rFonts w:hint="default" w:ascii="Times New Roman" w:hAnsi="Times New Roman" w:cs="Times New Roman"/>
                <w:sz w:val="24"/>
                <w:szCs w:val="24"/>
              </w:rPr>
              <w:drawing>
                <wp:inline distT="0" distB="0" distL="114300" distR="114300">
                  <wp:extent cx="2562225" cy="1543050"/>
                  <wp:effectExtent l="0" t="0" r="3175" b="635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24"/>
                          <a:stretch>
                            <a:fillRect/>
                          </a:stretch>
                        </pic:blipFill>
                        <pic:spPr>
                          <a:xfrm>
                            <a:off x="0" y="0"/>
                            <a:ext cx="2562225" cy="1543050"/>
                          </a:xfrm>
                          <a:prstGeom prst="rect">
                            <a:avLst/>
                          </a:prstGeom>
                          <a:noFill/>
                          <a:ln>
                            <a:noFill/>
                          </a:ln>
                        </pic:spPr>
                      </pic:pic>
                    </a:graphicData>
                  </a:graphic>
                </wp:inline>
              </w:drawing>
            </w:r>
          </w:p>
        </w:tc>
        <w:tc>
          <w:tcPr>
            <w:tcW w:w="4261" w:type="dxa"/>
            <w:vAlign w:val="center"/>
          </w:tcPr>
          <w:p w14:paraId="6E15B75E">
            <w:pPr>
              <w:snapToGrid w:val="0"/>
              <w:spacing w:line="240" w:lineRule="auto"/>
              <w:ind w:firstLine="0" w:firstLineChars="0"/>
              <w:jc w:val="center"/>
              <w:rPr>
                <w:rFonts w:hint="default" w:ascii="Times New Roman" w:hAnsi="Times New Roman" w:eastAsia="仿宋" w:cs="Times New Roman"/>
                <w:b/>
                <w:color w:val="000000" w:themeColor="text1"/>
                <w:sz w:val="24"/>
                <w:szCs w:val="24"/>
                <w14:textFill>
                  <w14:solidFill>
                    <w14:schemeClr w14:val="tx1"/>
                  </w14:solidFill>
                </w14:textFill>
              </w:rPr>
            </w:pPr>
            <w:r>
              <w:rPr>
                <w:rFonts w:hint="default" w:ascii="Times New Roman" w:hAnsi="Times New Roman" w:cs="Times New Roman"/>
                <w:sz w:val="24"/>
                <w:szCs w:val="24"/>
              </w:rPr>
              <w:drawing>
                <wp:inline distT="0" distB="0" distL="114300" distR="114300">
                  <wp:extent cx="2060575" cy="1575435"/>
                  <wp:effectExtent l="0" t="0" r="9525" b="1206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25"/>
                          <a:stretch>
                            <a:fillRect/>
                          </a:stretch>
                        </pic:blipFill>
                        <pic:spPr>
                          <a:xfrm>
                            <a:off x="0" y="0"/>
                            <a:ext cx="2060575" cy="1575435"/>
                          </a:xfrm>
                          <a:prstGeom prst="rect">
                            <a:avLst/>
                          </a:prstGeom>
                          <a:noFill/>
                          <a:ln>
                            <a:noFill/>
                          </a:ln>
                        </pic:spPr>
                      </pic:pic>
                    </a:graphicData>
                  </a:graphic>
                </wp:inline>
              </w:drawing>
            </w:r>
          </w:p>
        </w:tc>
      </w:tr>
      <w:tr w14:paraId="1B04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44174C35">
            <w:pPr>
              <w:snapToGrid w:val="0"/>
              <w:spacing w:line="240" w:lineRule="auto"/>
              <w:ind w:firstLine="0" w:firstLineChars="0"/>
              <w:jc w:val="center"/>
              <w:rPr>
                <w:rFonts w:hint="default" w:ascii="Times New Roman" w:hAnsi="Times New Roman" w:eastAsia="仿宋" w:cs="Times New Roman"/>
                <w:b/>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b/>
                <w:color w:val="000000" w:themeColor="text1"/>
                <w:sz w:val="24"/>
                <w:szCs w:val="24"/>
                <w:lang w:val="en-US" w:eastAsia="zh-CN"/>
                <w14:textFill>
                  <w14:solidFill>
                    <w14:schemeClr w14:val="tx1"/>
                  </w14:solidFill>
                </w14:textFill>
              </w:rPr>
              <w:t>消防泵组</w:t>
            </w:r>
          </w:p>
        </w:tc>
        <w:tc>
          <w:tcPr>
            <w:tcW w:w="4261" w:type="dxa"/>
            <w:vAlign w:val="center"/>
          </w:tcPr>
          <w:p w14:paraId="22D5487E">
            <w:pPr>
              <w:snapToGrid w:val="0"/>
              <w:spacing w:line="240" w:lineRule="auto"/>
              <w:ind w:firstLine="0" w:firstLineChars="0"/>
              <w:jc w:val="center"/>
              <w:rPr>
                <w:rFonts w:hint="default" w:ascii="Times New Roman" w:hAnsi="Times New Roman" w:eastAsia="仿宋" w:cs="Times New Roman"/>
                <w:b/>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b/>
                <w:color w:val="000000" w:themeColor="text1"/>
                <w:sz w:val="24"/>
                <w:szCs w:val="24"/>
                <w:lang w:val="en-US" w:eastAsia="zh-CN"/>
                <w14:textFill>
                  <w14:solidFill>
                    <w14:schemeClr w14:val="tx1"/>
                  </w14:solidFill>
                </w14:textFill>
              </w:rPr>
              <w:t>空气呼吸器</w:t>
            </w:r>
          </w:p>
        </w:tc>
      </w:tr>
      <w:tr w14:paraId="394C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133DC157">
            <w:pPr>
              <w:snapToGrid w:val="0"/>
              <w:spacing w:line="240" w:lineRule="auto"/>
              <w:ind w:firstLine="0" w:firstLineChars="0"/>
              <w:jc w:val="center"/>
              <w:rPr>
                <w:rFonts w:hint="default" w:ascii="Times New Roman" w:hAnsi="Times New Roman" w:eastAsia="仿宋" w:cs="Times New Roman"/>
                <w:b/>
                <w:color w:val="000000" w:themeColor="text1"/>
                <w:sz w:val="24"/>
                <w:szCs w:val="24"/>
                <w14:textFill>
                  <w14:solidFill>
                    <w14:schemeClr w14:val="tx1"/>
                  </w14:solidFill>
                </w14:textFill>
              </w:rPr>
            </w:pPr>
            <w:r>
              <w:rPr>
                <w:rFonts w:hint="default" w:ascii="Times New Roman" w:hAnsi="Times New Roman" w:cs="Times New Roman"/>
                <w:sz w:val="24"/>
                <w:szCs w:val="24"/>
              </w:rPr>
              <w:drawing>
                <wp:inline distT="0" distB="0" distL="114300" distR="114300">
                  <wp:extent cx="2564765" cy="1678305"/>
                  <wp:effectExtent l="0" t="0" r="635" b="10795"/>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26"/>
                          <a:stretch>
                            <a:fillRect/>
                          </a:stretch>
                        </pic:blipFill>
                        <pic:spPr>
                          <a:xfrm>
                            <a:off x="0" y="0"/>
                            <a:ext cx="2564765" cy="1678305"/>
                          </a:xfrm>
                          <a:prstGeom prst="rect">
                            <a:avLst/>
                          </a:prstGeom>
                          <a:noFill/>
                          <a:ln>
                            <a:noFill/>
                          </a:ln>
                        </pic:spPr>
                      </pic:pic>
                    </a:graphicData>
                  </a:graphic>
                </wp:inline>
              </w:drawing>
            </w:r>
          </w:p>
        </w:tc>
        <w:tc>
          <w:tcPr>
            <w:tcW w:w="4261" w:type="dxa"/>
            <w:vAlign w:val="center"/>
          </w:tcPr>
          <w:p w14:paraId="1813376F">
            <w:pPr>
              <w:snapToGrid w:val="0"/>
              <w:spacing w:line="240" w:lineRule="auto"/>
              <w:ind w:firstLine="0" w:firstLineChars="0"/>
              <w:jc w:val="center"/>
              <w:rPr>
                <w:rFonts w:hint="default" w:ascii="Times New Roman" w:hAnsi="Times New Roman" w:eastAsia="仿宋" w:cs="Times New Roman"/>
                <w:b/>
                <w:color w:val="000000" w:themeColor="text1"/>
                <w:sz w:val="24"/>
                <w:szCs w:val="24"/>
                <w14:textFill>
                  <w14:solidFill>
                    <w14:schemeClr w14:val="tx1"/>
                  </w14:solidFill>
                </w14:textFill>
              </w:rPr>
            </w:pPr>
            <w:r>
              <w:rPr>
                <w:rFonts w:hint="default" w:ascii="Times New Roman" w:hAnsi="Times New Roman" w:cs="Times New Roman"/>
                <w:sz w:val="24"/>
                <w:szCs w:val="24"/>
              </w:rPr>
              <w:drawing>
                <wp:inline distT="0" distB="0" distL="114300" distR="114300">
                  <wp:extent cx="1847850" cy="1558925"/>
                  <wp:effectExtent l="0" t="0" r="6350" b="3175"/>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27"/>
                          <a:stretch>
                            <a:fillRect/>
                          </a:stretch>
                        </pic:blipFill>
                        <pic:spPr>
                          <a:xfrm>
                            <a:off x="0" y="0"/>
                            <a:ext cx="1847850" cy="1558925"/>
                          </a:xfrm>
                          <a:prstGeom prst="rect">
                            <a:avLst/>
                          </a:prstGeom>
                          <a:noFill/>
                          <a:ln>
                            <a:noFill/>
                          </a:ln>
                        </pic:spPr>
                      </pic:pic>
                    </a:graphicData>
                  </a:graphic>
                </wp:inline>
              </w:drawing>
            </w:r>
          </w:p>
        </w:tc>
      </w:tr>
      <w:tr w14:paraId="40A8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0E256ED8">
            <w:pPr>
              <w:snapToGrid w:val="0"/>
              <w:spacing w:line="240" w:lineRule="auto"/>
              <w:ind w:firstLine="0" w:firstLineChars="0"/>
              <w:jc w:val="center"/>
              <w:rPr>
                <w:rFonts w:hint="default" w:ascii="Times New Roman" w:hAnsi="Times New Roman" w:eastAsia="仿宋" w:cs="Times New Roman"/>
                <w:b/>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b/>
                <w:color w:val="000000" w:themeColor="text1"/>
                <w:sz w:val="24"/>
                <w:szCs w:val="24"/>
                <w:lang w:val="en-US" w:eastAsia="zh-CN"/>
                <w14:textFill>
                  <w14:solidFill>
                    <w14:schemeClr w14:val="tx1"/>
                  </w14:solidFill>
                </w14:textFill>
              </w:rPr>
              <w:t>消防服</w:t>
            </w:r>
          </w:p>
        </w:tc>
        <w:tc>
          <w:tcPr>
            <w:tcW w:w="4261" w:type="dxa"/>
            <w:vAlign w:val="center"/>
          </w:tcPr>
          <w:p w14:paraId="1B2F3B56">
            <w:pPr>
              <w:snapToGrid w:val="0"/>
              <w:spacing w:line="240" w:lineRule="auto"/>
              <w:ind w:firstLine="0" w:firstLineChars="0"/>
              <w:jc w:val="center"/>
              <w:rPr>
                <w:rFonts w:hint="default" w:ascii="Times New Roman" w:hAnsi="Times New Roman" w:eastAsia="仿宋" w:cs="Times New Roman"/>
                <w:b/>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b/>
                <w:color w:val="000000" w:themeColor="text1"/>
                <w:sz w:val="24"/>
                <w:szCs w:val="24"/>
                <w:lang w:val="en-US" w:eastAsia="zh-CN"/>
                <w14:textFill>
                  <w14:solidFill>
                    <w14:schemeClr w14:val="tx1"/>
                  </w14:solidFill>
                </w14:textFill>
              </w:rPr>
              <w:t>应急沙袋</w:t>
            </w:r>
          </w:p>
        </w:tc>
      </w:tr>
      <w:bookmarkEnd w:id="56"/>
    </w:tbl>
    <w:p w14:paraId="68BB2C40">
      <w:pPr>
        <w:snapToGrid w:val="0"/>
        <w:spacing w:line="240" w:lineRule="auto"/>
        <w:ind w:firstLine="0" w:firstLineChars="0"/>
        <w:jc w:val="center"/>
        <w:rPr>
          <w:rFonts w:hint="default" w:ascii="Times New Roman" w:hAnsi="Times New Roman" w:cs="Times New Roman"/>
          <w:b/>
          <w:bCs/>
          <w:color w:val="000000"/>
          <w:sz w:val="18"/>
          <w:szCs w:val="18"/>
        </w:rPr>
      </w:pPr>
    </w:p>
    <w:bookmarkEnd w:id="57"/>
    <w:p w14:paraId="68D93E2F">
      <w:pPr>
        <w:pStyle w:val="4"/>
        <w:spacing w:before="163" w:after="163"/>
        <w:rPr>
          <w:rFonts w:hint="default" w:ascii="Times New Roman" w:hAnsi="Times New Roman" w:cs="Times New Roman"/>
          <w:color w:val="000000"/>
        </w:rPr>
      </w:pPr>
      <w:bookmarkStart w:id="58" w:name="_Toc520410251"/>
      <w:r>
        <w:rPr>
          <w:rFonts w:hint="default" w:ascii="Times New Roman" w:hAnsi="Times New Roman" w:cs="Times New Roman"/>
          <w:color w:val="000000"/>
        </w:rPr>
        <w:t>4.2.2 规范化排污口、在线监测装置</w:t>
      </w:r>
      <w:bookmarkEnd w:id="58"/>
    </w:p>
    <w:p w14:paraId="5B902BC1">
      <w:pPr>
        <w:spacing w:line="360" w:lineRule="auto"/>
        <w:ind w:firstLine="0" w:firstLineChars="0"/>
        <w:jc w:val="left"/>
        <w:rPr>
          <w:rFonts w:hint="default" w:ascii="Times New Roman" w:hAnsi="Times New Roman" w:eastAsia="仿宋" w:cs="Times New Roman"/>
          <w:b/>
          <w:bCs/>
          <w:color w:val="000000" w:themeColor="text1"/>
          <w:sz w:val="28"/>
          <w:szCs w:val="28"/>
          <w14:textFill>
            <w14:solidFill>
              <w14:schemeClr w14:val="tx1"/>
            </w14:solidFill>
          </w14:textFill>
        </w:rPr>
      </w:pPr>
      <w:bookmarkStart w:id="59" w:name="_Hlk520382395"/>
      <w:r>
        <w:rPr>
          <w:rFonts w:hint="default" w:ascii="Times New Roman" w:hAnsi="Times New Roman" w:eastAsia="仿宋" w:cs="Times New Roman"/>
          <w:b/>
          <w:bCs/>
          <w:color w:val="000000" w:themeColor="text1"/>
          <w:sz w:val="28"/>
          <w:szCs w:val="28"/>
          <w14:textFill>
            <w14:solidFill>
              <w14:schemeClr w14:val="tx1"/>
            </w14:solidFill>
          </w14:textFill>
        </w:rPr>
        <w:t>4.2.2.1 排污口规范化</w:t>
      </w:r>
    </w:p>
    <w:p w14:paraId="7573F826">
      <w:pPr>
        <w:spacing w:line="360" w:lineRule="auto"/>
        <w:ind w:firstLine="560"/>
        <w:jc w:val="left"/>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本项目废气排放口、雨水接管口、污水接管口、噪声源、固体废弃物均已按《江苏省排污口设置及规范化整治管理办法》（苏环控【1997】122 号）、《江苏省固体废物全过程环境监管工作意见》(苏环办【2024】16号)要求设置了标志牌。</w:t>
      </w:r>
    </w:p>
    <w:p w14:paraId="699D48B4">
      <w:pPr>
        <w:spacing w:line="360" w:lineRule="auto"/>
        <w:ind w:firstLine="0" w:firstLineChars="0"/>
        <w:jc w:val="left"/>
        <w:rPr>
          <w:rFonts w:hint="default" w:ascii="Times New Roman" w:hAnsi="Times New Roman" w:eastAsia="仿宋" w:cs="Times New Roman"/>
          <w:b/>
          <w:bCs/>
          <w:color w:val="000000" w:themeColor="text1"/>
          <w:sz w:val="28"/>
          <w:szCs w:val="28"/>
          <w14:textFill>
            <w14:solidFill>
              <w14:schemeClr w14:val="tx1"/>
            </w14:solidFill>
          </w14:textFill>
        </w:rPr>
      </w:pPr>
      <w:r>
        <w:rPr>
          <w:rFonts w:hint="default" w:ascii="Times New Roman" w:hAnsi="Times New Roman" w:eastAsia="仿宋" w:cs="Times New Roman"/>
          <w:b/>
          <w:bCs/>
          <w:color w:val="000000" w:themeColor="text1"/>
          <w:sz w:val="28"/>
          <w:szCs w:val="28"/>
          <w14:textFill>
            <w14:solidFill>
              <w14:schemeClr w14:val="tx1"/>
            </w14:solidFill>
          </w14:textFill>
        </w:rPr>
        <w:t>4.2.2.2 在线监测</w:t>
      </w:r>
    </w:p>
    <w:p w14:paraId="15DB1F42">
      <w:pPr>
        <w:spacing w:line="360" w:lineRule="auto"/>
        <w:ind w:firstLine="560"/>
        <w:jc w:val="left"/>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lang w:eastAsia="zh-CN"/>
          <w14:textFill>
            <w14:solidFill>
              <w14:schemeClr w14:val="tx1"/>
            </w14:solidFill>
          </w14:textFill>
        </w:rPr>
        <w:t>厂区</w:t>
      </w:r>
      <w:r>
        <w:rPr>
          <w:rFonts w:hint="default" w:ascii="Times New Roman" w:hAnsi="Times New Roman" w:eastAsia="仿宋" w:cs="Times New Roman"/>
          <w:color w:val="000000" w:themeColor="text1"/>
          <w:sz w:val="28"/>
          <w:szCs w:val="28"/>
          <w14:textFill>
            <w14:solidFill>
              <w14:schemeClr w14:val="tx1"/>
            </w14:solidFill>
          </w14:textFill>
        </w:rPr>
        <w:t>废水总排口安装了COD在线监测仪</w:t>
      </w:r>
      <w:r>
        <w:rPr>
          <w:rFonts w:hint="default" w:ascii="Times New Roman" w:hAnsi="Times New Roman" w:eastAsia="仿宋" w:cs="Times New Roman"/>
          <w:color w:val="000000" w:themeColor="text1"/>
          <w:sz w:val="28"/>
          <w:szCs w:val="28"/>
          <w:lang w:eastAsia="zh-CN"/>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氨氮</w:t>
      </w:r>
      <w:r>
        <w:rPr>
          <w:rFonts w:hint="default" w:ascii="Times New Roman" w:hAnsi="Times New Roman" w:eastAsia="仿宋" w:cs="Times New Roman"/>
          <w:color w:val="000000" w:themeColor="text1"/>
          <w:sz w:val="28"/>
          <w:szCs w:val="28"/>
          <w14:textFill>
            <w14:solidFill>
              <w14:schemeClr w14:val="tx1"/>
            </w14:solidFill>
          </w14:textFill>
        </w:rPr>
        <w:t>在线监测仪</w:t>
      </w:r>
      <w:r>
        <w:rPr>
          <w:rFonts w:hint="default" w:ascii="Times New Roman" w:hAnsi="Times New Roman" w:eastAsia="仿宋" w:cs="Times New Roman"/>
          <w:color w:val="000000" w:themeColor="text1"/>
          <w:sz w:val="28"/>
          <w:szCs w:val="28"/>
          <w:lang w:eastAsia="zh-CN"/>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pH</w:t>
      </w:r>
      <w:r>
        <w:rPr>
          <w:rFonts w:hint="default" w:ascii="Times New Roman" w:hAnsi="Times New Roman" w:eastAsia="仿宋" w:cs="Times New Roman"/>
          <w:color w:val="000000" w:themeColor="text1"/>
          <w:sz w:val="28"/>
          <w:szCs w:val="28"/>
          <w14:textFill>
            <w14:solidFill>
              <w14:schemeClr w14:val="tx1"/>
            </w14:solidFill>
          </w14:textFill>
        </w:rPr>
        <w:t>在线监测仪</w:t>
      </w:r>
      <w:r>
        <w:rPr>
          <w:rFonts w:hint="default" w:ascii="Times New Roman" w:hAnsi="Times New Roman" w:eastAsia="仿宋" w:cs="Times New Roman"/>
          <w:color w:val="000000" w:themeColor="text1"/>
          <w:sz w:val="28"/>
          <w:szCs w:val="28"/>
          <w:lang w:eastAsia="zh-CN"/>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均已完成验收</w:t>
      </w:r>
      <w:r>
        <w:rPr>
          <w:rFonts w:hint="default" w:ascii="Times New Roman" w:hAnsi="Times New Roman" w:eastAsia="仿宋" w:cs="Times New Roman"/>
          <w:color w:val="000000" w:themeColor="text1"/>
          <w:sz w:val="28"/>
          <w:szCs w:val="28"/>
          <w14:textFill>
            <w14:solidFill>
              <w14:schemeClr w14:val="tx1"/>
            </w14:solidFill>
          </w14:textFill>
        </w:rPr>
        <w:t>。</w:t>
      </w:r>
    </w:p>
    <w:p w14:paraId="2CA3D874">
      <w:pPr>
        <w:spacing w:line="360" w:lineRule="auto"/>
        <w:ind w:firstLine="0" w:firstLineChars="0"/>
        <w:jc w:val="center"/>
        <w:rPr>
          <w:rFonts w:hint="default" w:ascii="Times New Roman" w:hAnsi="Times New Roman" w:eastAsia="仿宋" w:cs="Times New Roman"/>
          <w:b/>
          <w:color w:val="000000" w:themeColor="text1"/>
          <w:sz w:val="28"/>
          <w:szCs w:val="28"/>
          <w14:textFill>
            <w14:solidFill>
              <w14:schemeClr w14:val="tx1"/>
            </w14:solidFill>
          </w14:textFill>
        </w:rPr>
      </w:pPr>
      <w:r>
        <w:rPr>
          <w:rFonts w:hint="default" w:ascii="Times New Roman" w:hAnsi="Times New Roman" w:eastAsia="仿宋" w:cs="Times New Roman"/>
          <w:b/>
          <w:color w:val="000000" w:themeColor="text1"/>
          <w:sz w:val="28"/>
          <w:szCs w:val="28"/>
          <w14:textFill>
            <w14:solidFill>
              <w14:schemeClr w14:val="tx1"/>
            </w14:solidFill>
          </w14:textFill>
        </w:rPr>
        <w:t>表4.2-</w:t>
      </w:r>
      <w:r>
        <w:rPr>
          <w:rFonts w:hint="default" w:ascii="Times New Roman" w:hAnsi="Times New Roman" w:eastAsia="仿宋" w:cs="Times New Roman"/>
          <w:b/>
          <w:color w:val="000000" w:themeColor="text1"/>
          <w:sz w:val="28"/>
          <w:szCs w:val="28"/>
          <w:lang w:val="en-US" w:eastAsia="zh-CN"/>
          <w14:textFill>
            <w14:solidFill>
              <w14:schemeClr w14:val="tx1"/>
            </w14:solidFill>
          </w14:textFill>
        </w:rPr>
        <w:t>2</w:t>
      </w:r>
      <w:r>
        <w:rPr>
          <w:rFonts w:hint="default" w:ascii="Times New Roman" w:hAnsi="Times New Roman" w:eastAsia="仿宋" w:cs="Times New Roman"/>
          <w:b/>
          <w:color w:val="000000" w:themeColor="text1"/>
          <w:sz w:val="28"/>
          <w:szCs w:val="28"/>
          <w14:textFill>
            <w14:solidFill>
              <w14:schemeClr w14:val="tx1"/>
            </w14:solidFill>
          </w14:textFill>
        </w:rPr>
        <w:t xml:space="preserve">   在线监控装置</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02CB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4261" w:type="dxa"/>
            <w:vAlign w:val="center"/>
          </w:tcPr>
          <w:p w14:paraId="1139CAAF">
            <w:pPr>
              <w:snapToGrid w:val="0"/>
              <w:spacing w:line="240" w:lineRule="auto"/>
              <w:ind w:firstLine="0" w:firstLineChars="0"/>
              <w:jc w:val="center"/>
              <w:rPr>
                <w:rFonts w:hint="default" w:ascii="Times New Roman" w:hAnsi="Times New Roman" w:eastAsia="仿宋" w:cs="Times New Roman"/>
                <w:b/>
                <w:color w:val="000000" w:themeColor="text1"/>
                <w:szCs w:val="21"/>
                <w14:textFill>
                  <w14:solidFill>
                    <w14:schemeClr w14:val="tx1"/>
                  </w14:solidFill>
                </w14:textFill>
              </w:rPr>
            </w:pPr>
            <w:r>
              <w:rPr>
                <w:rFonts w:hint="default" w:ascii="Times New Roman" w:hAnsi="Times New Roman" w:cs="Times New Roman"/>
                <w:highlight w:val="none"/>
                <w:lang w:val="en-US" w:eastAsia="zh-CN"/>
              </w:rPr>
              <w:drawing>
                <wp:inline distT="0" distB="0" distL="114300" distR="114300">
                  <wp:extent cx="2011045" cy="1574800"/>
                  <wp:effectExtent l="0" t="0" r="8255" b="0"/>
                  <wp:docPr id="67" name="图片 67" descr="监控房"/>
                  <wp:cNvGraphicFramePr/>
                  <a:graphic xmlns:a="http://schemas.openxmlformats.org/drawingml/2006/main">
                    <a:graphicData uri="http://schemas.openxmlformats.org/drawingml/2006/picture">
                      <pic:pic xmlns:pic="http://schemas.openxmlformats.org/drawingml/2006/picture">
                        <pic:nvPicPr>
                          <pic:cNvPr id="67" name="图片 67" descr="监控房"/>
                          <pic:cNvPicPr/>
                        </pic:nvPicPr>
                        <pic:blipFill>
                          <a:blip r:embed="rId28"/>
                          <a:stretch>
                            <a:fillRect/>
                          </a:stretch>
                        </pic:blipFill>
                        <pic:spPr>
                          <a:xfrm>
                            <a:off x="0" y="0"/>
                            <a:ext cx="2011045" cy="1574800"/>
                          </a:xfrm>
                          <a:prstGeom prst="rect">
                            <a:avLst/>
                          </a:prstGeom>
                        </pic:spPr>
                      </pic:pic>
                    </a:graphicData>
                  </a:graphic>
                </wp:inline>
              </w:drawing>
            </w:r>
          </w:p>
        </w:tc>
        <w:tc>
          <w:tcPr>
            <w:tcW w:w="4261" w:type="dxa"/>
            <w:vAlign w:val="center"/>
          </w:tcPr>
          <w:p w14:paraId="27F8D268">
            <w:pPr>
              <w:widowControl/>
              <w:snapToGrid w:val="0"/>
              <w:spacing w:line="240" w:lineRule="auto"/>
              <w:ind w:firstLine="0" w:firstLineChars="0"/>
              <w:jc w:val="center"/>
              <w:rPr>
                <w:rFonts w:hint="default" w:ascii="Times New Roman" w:hAnsi="Times New Roman" w:eastAsia="仿宋" w:cs="Times New Roman"/>
                <w:b/>
                <w:color w:val="000000" w:themeColor="text1"/>
                <w:szCs w:val="21"/>
                <w14:textFill>
                  <w14:solidFill>
                    <w14:schemeClr w14:val="tx1"/>
                  </w14:solidFill>
                </w14:textFill>
              </w:rPr>
            </w:pPr>
            <w:r>
              <w:rPr>
                <w:rFonts w:hint="default" w:ascii="Times New Roman" w:hAnsi="Times New Roman" w:cs="Times New Roman"/>
                <w:highlight w:val="none"/>
                <w:lang w:val="en-US" w:eastAsia="zh-CN"/>
              </w:rPr>
              <w:drawing>
                <wp:inline distT="0" distB="0" distL="114300" distR="114300">
                  <wp:extent cx="2045970" cy="1713865"/>
                  <wp:effectExtent l="0" t="0" r="11430" b="635"/>
                  <wp:docPr id="70" name="图片 70" descr="47e829ce60b176d7217459db4b6a5db"/>
                  <wp:cNvGraphicFramePr/>
                  <a:graphic xmlns:a="http://schemas.openxmlformats.org/drawingml/2006/main">
                    <a:graphicData uri="http://schemas.openxmlformats.org/drawingml/2006/picture">
                      <pic:pic xmlns:pic="http://schemas.openxmlformats.org/drawingml/2006/picture">
                        <pic:nvPicPr>
                          <pic:cNvPr id="70" name="图片 70" descr="47e829ce60b176d7217459db4b6a5db"/>
                          <pic:cNvPicPr/>
                        </pic:nvPicPr>
                        <pic:blipFill>
                          <a:blip r:embed="rId29"/>
                          <a:stretch>
                            <a:fillRect/>
                          </a:stretch>
                        </pic:blipFill>
                        <pic:spPr>
                          <a:xfrm>
                            <a:off x="0" y="0"/>
                            <a:ext cx="2045970" cy="1713865"/>
                          </a:xfrm>
                          <a:prstGeom prst="rect">
                            <a:avLst/>
                          </a:prstGeom>
                        </pic:spPr>
                      </pic:pic>
                    </a:graphicData>
                  </a:graphic>
                </wp:inline>
              </w:drawing>
            </w:r>
          </w:p>
        </w:tc>
      </w:tr>
      <w:tr w14:paraId="2649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18E71689">
            <w:pPr>
              <w:snapToGrid w:val="0"/>
              <w:spacing w:line="240" w:lineRule="auto"/>
              <w:ind w:firstLine="0" w:firstLineChars="0"/>
              <w:jc w:val="center"/>
              <w:rPr>
                <w:rFonts w:hint="default" w:ascii="Times New Roman" w:hAnsi="Times New Roman" w:eastAsia="仿宋" w:cs="Times New Roman"/>
                <w:b/>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b/>
                <w:color w:val="000000" w:themeColor="text1"/>
                <w:sz w:val="24"/>
                <w:szCs w:val="24"/>
                <w:lang w:val="en-US" w:eastAsia="zh-CN"/>
                <w14:textFill>
                  <w14:solidFill>
                    <w14:schemeClr w14:val="tx1"/>
                  </w14:solidFill>
                </w14:textFill>
              </w:rPr>
              <w:t>在线监控站房</w:t>
            </w:r>
          </w:p>
        </w:tc>
        <w:tc>
          <w:tcPr>
            <w:tcW w:w="4261" w:type="dxa"/>
            <w:vAlign w:val="center"/>
          </w:tcPr>
          <w:p w14:paraId="7E2B221A">
            <w:pPr>
              <w:snapToGrid w:val="0"/>
              <w:spacing w:line="240" w:lineRule="auto"/>
              <w:ind w:firstLine="0" w:firstLineChars="0"/>
              <w:jc w:val="center"/>
              <w:rPr>
                <w:rFonts w:hint="default" w:ascii="Times New Roman" w:hAnsi="Times New Roman" w:eastAsia="仿宋" w:cs="Times New Roman"/>
                <w:b/>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b/>
                <w:color w:val="000000" w:themeColor="text1"/>
                <w:sz w:val="24"/>
                <w:szCs w:val="24"/>
                <w:lang w:val="en-US" w:eastAsia="zh-CN"/>
                <w14:textFill>
                  <w14:solidFill>
                    <w14:schemeClr w14:val="tx1"/>
                  </w14:solidFill>
                </w14:textFill>
              </w:rPr>
              <w:t>在线设备验收意见</w:t>
            </w:r>
          </w:p>
        </w:tc>
      </w:tr>
      <w:tr w14:paraId="0F63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6" w:hRule="atLeast"/>
        </w:trPr>
        <w:tc>
          <w:tcPr>
            <w:tcW w:w="4261" w:type="dxa"/>
            <w:vAlign w:val="center"/>
          </w:tcPr>
          <w:p w14:paraId="1F4066A0">
            <w:pPr>
              <w:snapToGrid w:val="0"/>
              <w:spacing w:line="240" w:lineRule="auto"/>
              <w:ind w:firstLine="0" w:firstLineChars="0"/>
              <w:jc w:val="center"/>
              <w:rPr>
                <w:rFonts w:hint="default" w:ascii="Times New Roman" w:hAnsi="Times New Roman" w:eastAsia="仿宋" w:cs="Times New Roman"/>
                <w:b/>
                <w:color w:val="000000" w:themeColor="text1"/>
                <w:sz w:val="21"/>
                <w:szCs w:val="21"/>
                <w14:textFill>
                  <w14:solidFill>
                    <w14:schemeClr w14:val="tx1"/>
                  </w14:solidFill>
                </w14:textFill>
              </w:rPr>
            </w:pPr>
            <w:r>
              <w:rPr>
                <w:rFonts w:hint="default" w:ascii="Times New Roman" w:hAnsi="Times New Roman" w:cs="Times New Roman"/>
                <w:sz w:val="21"/>
                <w:szCs w:val="21"/>
                <w:highlight w:val="none"/>
                <w:lang w:val="en-US" w:eastAsia="zh-CN"/>
              </w:rPr>
              <w:drawing>
                <wp:inline distT="0" distB="0" distL="114300" distR="114300">
                  <wp:extent cx="1860550" cy="1407795"/>
                  <wp:effectExtent l="0" t="0" r="6350" b="1905"/>
                  <wp:docPr id="71" name="图片 71" descr="7323b566c637850a5ca7868cc6838ba"/>
                  <wp:cNvGraphicFramePr/>
                  <a:graphic xmlns:a="http://schemas.openxmlformats.org/drawingml/2006/main">
                    <a:graphicData uri="http://schemas.openxmlformats.org/drawingml/2006/picture">
                      <pic:pic xmlns:pic="http://schemas.openxmlformats.org/drawingml/2006/picture">
                        <pic:nvPicPr>
                          <pic:cNvPr id="71" name="图片 71" descr="7323b566c637850a5ca7868cc6838ba"/>
                          <pic:cNvPicPr/>
                        </pic:nvPicPr>
                        <pic:blipFill>
                          <a:blip r:embed="rId30"/>
                          <a:stretch>
                            <a:fillRect/>
                          </a:stretch>
                        </pic:blipFill>
                        <pic:spPr>
                          <a:xfrm>
                            <a:off x="0" y="0"/>
                            <a:ext cx="1860550" cy="1407795"/>
                          </a:xfrm>
                          <a:prstGeom prst="rect">
                            <a:avLst/>
                          </a:prstGeom>
                        </pic:spPr>
                      </pic:pic>
                    </a:graphicData>
                  </a:graphic>
                </wp:inline>
              </w:drawing>
            </w:r>
          </w:p>
        </w:tc>
        <w:tc>
          <w:tcPr>
            <w:tcW w:w="4261" w:type="dxa"/>
            <w:vAlign w:val="center"/>
          </w:tcPr>
          <w:p w14:paraId="006224AF">
            <w:pPr>
              <w:snapToGrid w:val="0"/>
              <w:spacing w:line="240" w:lineRule="auto"/>
              <w:ind w:firstLine="0" w:firstLineChars="0"/>
              <w:jc w:val="center"/>
              <w:rPr>
                <w:rFonts w:hint="default" w:ascii="Times New Roman" w:hAnsi="Times New Roman" w:eastAsia="仿宋" w:cs="Times New Roman"/>
                <w:b/>
                <w:color w:val="000000" w:themeColor="text1"/>
                <w:sz w:val="21"/>
                <w:szCs w:val="21"/>
                <w14:textFill>
                  <w14:solidFill>
                    <w14:schemeClr w14:val="tx1"/>
                  </w14:solidFill>
                </w14:textFill>
              </w:rPr>
            </w:pPr>
          </w:p>
        </w:tc>
      </w:tr>
      <w:tr w14:paraId="4A08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16E54EA8">
            <w:pPr>
              <w:snapToGrid w:val="0"/>
              <w:spacing w:line="240" w:lineRule="auto"/>
              <w:ind w:firstLine="0" w:firstLineChars="0"/>
              <w:jc w:val="center"/>
              <w:rPr>
                <w:rFonts w:hint="default" w:ascii="Times New Roman" w:hAnsi="Times New Roman" w:eastAsia="仿宋" w:cs="Times New Roman"/>
                <w:b/>
                <w:color w:val="000000" w:themeColor="text1"/>
                <w:sz w:val="24"/>
                <w:szCs w:val="24"/>
                <w14:textFill>
                  <w14:solidFill>
                    <w14:schemeClr w14:val="tx1"/>
                  </w14:solidFill>
                </w14:textFill>
              </w:rPr>
            </w:pPr>
            <w:r>
              <w:rPr>
                <w:rFonts w:hint="default" w:ascii="Times New Roman" w:hAnsi="Times New Roman" w:eastAsia="仿宋" w:cs="Times New Roman"/>
                <w:b/>
                <w:color w:val="000000" w:themeColor="text1"/>
                <w:sz w:val="24"/>
                <w:szCs w:val="24"/>
                <w:lang w:val="en-US" w:eastAsia="zh-CN"/>
                <w14:textFill>
                  <w14:solidFill>
                    <w14:schemeClr w14:val="tx1"/>
                  </w14:solidFill>
                </w14:textFill>
              </w:rPr>
              <w:t>在线设备验收报告</w:t>
            </w:r>
          </w:p>
        </w:tc>
        <w:tc>
          <w:tcPr>
            <w:tcW w:w="4261" w:type="dxa"/>
            <w:vAlign w:val="center"/>
          </w:tcPr>
          <w:p w14:paraId="43244080">
            <w:pPr>
              <w:snapToGrid w:val="0"/>
              <w:spacing w:line="240" w:lineRule="auto"/>
              <w:ind w:firstLine="0" w:firstLineChars="0"/>
              <w:jc w:val="center"/>
              <w:rPr>
                <w:rFonts w:hint="default" w:ascii="Times New Roman" w:hAnsi="Times New Roman" w:eastAsia="仿宋" w:cs="Times New Roman"/>
                <w:b/>
                <w:color w:val="000000" w:themeColor="text1"/>
                <w:sz w:val="24"/>
                <w:szCs w:val="24"/>
                <w14:textFill>
                  <w14:solidFill>
                    <w14:schemeClr w14:val="tx1"/>
                  </w14:solidFill>
                </w14:textFill>
              </w:rPr>
            </w:pPr>
          </w:p>
        </w:tc>
      </w:tr>
      <w:bookmarkEnd w:id="59"/>
    </w:tbl>
    <w:p w14:paraId="20166874">
      <w:pPr>
        <w:pStyle w:val="3"/>
        <w:spacing w:before="120" w:after="120"/>
        <w:ind w:firstLine="0" w:firstLineChars="0"/>
        <w:rPr>
          <w:rFonts w:hint="default" w:ascii="Times New Roman" w:hAnsi="Times New Roman" w:cs="Times New Roman"/>
          <w:color w:val="000000"/>
        </w:rPr>
      </w:pPr>
      <w:bookmarkStart w:id="60" w:name="_Toc520410253"/>
      <w:bookmarkStart w:id="61" w:name="_Toc6004"/>
      <w:bookmarkStart w:id="62" w:name="_Toc5204534"/>
      <w:r>
        <w:rPr>
          <w:rFonts w:hint="default" w:ascii="Times New Roman" w:hAnsi="Times New Roman" w:cs="Times New Roman"/>
          <w:color w:val="000000"/>
        </w:rPr>
        <w:t>4.3环保设施投资及“三同时”落实情况</w:t>
      </w:r>
      <w:bookmarkEnd w:id="60"/>
      <w:bookmarkEnd w:id="61"/>
      <w:bookmarkEnd w:id="62"/>
    </w:p>
    <w:p w14:paraId="351BE413">
      <w:pPr>
        <w:pStyle w:val="4"/>
        <w:spacing w:beforeLines="0" w:afterLines="0"/>
        <w:rPr>
          <w:rFonts w:hint="default" w:ascii="Times New Roman" w:hAnsi="Times New Roman" w:cs="Times New Roman"/>
          <w:color w:val="000000"/>
        </w:rPr>
      </w:pPr>
      <w:bookmarkStart w:id="63" w:name="_Toc520410254"/>
      <w:r>
        <w:rPr>
          <w:rFonts w:hint="default" w:ascii="Times New Roman" w:hAnsi="Times New Roman" w:cs="Times New Roman"/>
          <w:color w:val="000000"/>
        </w:rPr>
        <w:t>4.3.1环保设施投资</w:t>
      </w:r>
      <w:bookmarkEnd w:id="63"/>
    </w:p>
    <w:p w14:paraId="49C84FC2">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本项目总投资3500万元，环保设施投资</w:t>
      </w:r>
      <w:r>
        <w:rPr>
          <w:rFonts w:hint="default" w:ascii="Times New Roman" w:hAnsi="Times New Roman" w:eastAsia="仿宋" w:cs="Times New Roman"/>
          <w:color w:val="000000"/>
          <w:lang w:val="en-US" w:eastAsia="zh-CN"/>
        </w:rPr>
        <w:t>20</w:t>
      </w:r>
      <w:r>
        <w:rPr>
          <w:rFonts w:hint="default" w:ascii="Times New Roman" w:hAnsi="Times New Roman" w:eastAsia="仿宋" w:cs="Times New Roman"/>
          <w:color w:val="000000"/>
        </w:rPr>
        <w:t>0万元，环保投资占比</w:t>
      </w:r>
      <w:r>
        <w:rPr>
          <w:rFonts w:hint="default" w:ascii="Times New Roman" w:hAnsi="Times New Roman" w:eastAsia="仿宋" w:cs="Times New Roman"/>
          <w:color w:val="000000"/>
          <w:lang w:val="en-US" w:eastAsia="zh-CN"/>
        </w:rPr>
        <w:t>5.71</w:t>
      </w:r>
      <w:r>
        <w:rPr>
          <w:rFonts w:hint="default" w:ascii="Times New Roman" w:hAnsi="Times New Roman" w:eastAsia="仿宋" w:cs="Times New Roman"/>
          <w:color w:val="000000"/>
        </w:rPr>
        <w:t>%，环保设施投资情况见表4.3-1。</w:t>
      </w:r>
    </w:p>
    <w:p w14:paraId="4D04331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000000"/>
        </w:rPr>
      </w:pPr>
      <w:r>
        <w:rPr>
          <w:rFonts w:hint="default" w:ascii="Times New Roman" w:hAnsi="Times New Roman" w:cs="Times New Roman"/>
          <w:b/>
          <w:bCs/>
          <w:color w:val="000000"/>
        </w:rPr>
        <w:t>表4.3-1  环保投资明细</w:t>
      </w:r>
    </w:p>
    <w:tbl>
      <w:tblPr>
        <w:tblStyle w:val="25"/>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335"/>
        <w:gridCol w:w="1566"/>
        <w:gridCol w:w="1681"/>
        <w:gridCol w:w="2161"/>
      </w:tblGrid>
      <w:tr w14:paraId="0B526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779" w:type="dxa"/>
            <w:tcBorders>
              <w:top w:val="single" w:color="auto" w:sz="12" w:space="0"/>
              <w:left w:val="nil"/>
            </w:tcBorders>
            <w:vAlign w:val="center"/>
          </w:tcPr>
          <w:p w14:paraId="3641E1DF">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color w:val="000000"/>
                <w:sz w:val="24"/>
                <w:szCs w:val="24"/>
              </w:rPr>
            </w:pPr>
            <w:bookmarkStart w:id="64" w:name="_Hlk520390980"/>
            <w:r>
              <w:rPr>
                <w:rFonts w:hint="default" w:ascii="Times New Roman" w:hAnsi="Times New Roman" w:eastAsia="仿宋" w:cs="Times New Roman"/>
                <w:b/>
                <w:color w:val="000000"/>
                <w:sz w:val="24"/>
                <w:szCs w:val="24"/>
              </w:rPr>
              <w:t>序号</w:t>
            </w:r>
          </w:p>
        </w:tc>
        <w:tc>
          <w:tcPr>
            <w:tcW w:w="2335" w:type="dxa"/>
            <w:tcBorders>
              <w:top w:val="single" w:color="auto" w:sz="12" w:space="0"/>
            </w:tcBorders>
            <w:vAlign w:val="center"/>
          </w:tcPr>
          <w:p w14:paraId="1527041E">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color w:val="000000"/>
                <w:sz w:val="24"/>
                <w:szCs w:val="24"/>
              </w:rPr>
            </w:pPr>
            <w:r>
              <w:rPr>
                <w:rFonts w:hint="default" w:ascii="Times New Roman" w:hAnsi="Times New Roman" w:eastAsia="仿宋" w:cs="Times New Roman"/>
                <w:b/>
                <w:color w:val="000000"/>
                <w:sz w:val="24"/>
                <w:szCs w:val="24"/>
              </w:rPr>
              <w:t>类别</w:t>
            </w:r>
          </w:p>
        </w:tc>
        <w:tc>
          <w:tcPr>
            <w:tcW w:w="1566" w:type="dxa"/>
            <w:tcBorders>
              <w:top w:val="single" w:color="auto" w:sz="12" w:space="0"/>
            </w:tcBorders>
            <w:vAlign w:val="center"/>
          </w:tcPr>
          <w:p w14:paraId="2E7D994C">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color w:val="000000"/>
                <w:sz w:val="24"/>
                <w:szCs w:val="24"/>
              </w:rPr>
            </w:pPr>
            <w:r>
              <w:rPr>
                <w:rFonts w:hint="default" w:ascii="Times New Roman" w:hAnsi="Times New Roman" w:eastAsia="仿宋" w:cs="Times New Roman"/>
                <w:b/>
                <w:color w:val="000000"/>
                <w:sz w:val="24"/>
                <w:szCs w:val="24"/>
              </w:rPr>
              <w:t>环评预计投资（万元）</w:t>
            </w:r>
          </w:p>
        </w:tc>
        <w:tc>
          <w:tcPr>
            <w:tcW w:w="1681" w:type="dxa"/>
            <w:tcBorders>
              <w:top w:val="single" w:color="auto" w:sz="12" w:space="0"/>
            </w:tcBorders>
            <w:vAlign w:val="center"/>
          </w:tcPr>
          <w:p w14:paraId="205C1CD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color w:val="000000"/>
                <w:sz w:val="24"/>
                <w:szCs w:val="24"/>
              </w:rPr>
            </w:pPr>
            <w:r>
              <w:rPr>
                <w:rFonts w:hint="default" w:ascii="Times New Roman" w:hAnsi="Times New Roman" w:eastAsia="仿宋" w:cs="Times New Roman"/>
                <w:b/>
                <w:color w:val="000000"/>
                <w:sz w:val="24"/>
                <w:szCs w:val="24"/>
              </w:rPr>
              <w:t>实际投资</w:t>
            </w:r>
          </w:p>
          <w:p w14:paraId="05D8C38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color w:val="000000"/>
                <w:sz w:val="24"/>
                <w:szCs w:val="24"/>
              </w:rPr>
            </w:pPr>
            <w:r>
              <w:rPr>
                <w:rFonts w:hint="default" w:ascii="Times New Roman" w:hAnsi="Times New Roman" w:eastAsia="仿宋" w:cs="Times New Roman"/>
                <w:b/>
                <w:color w:val="000000"/>
                <w:sz w:val="24"/>
                <w:szCs w:val="24"/>
              </w:rPr>
              <w:t>（万元）</w:t>
            </w:r>
          </w:p>
        </w:tc>
        <w:tc>
          <w:tcPr>
            <w:tcW w:w="2161" w:type="dxa"/>
            <w:tcBorders>
              <w:top w:val="single" w:color="auto" w:sz="12" w:space="0"/>
              <w:right w:val="nil"/>
            </w:tcBorders>
            <w:vAlign w:val="center"/>
          </w:tcPr>
          <w:p w14:paraId="23296EC9">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b/>
                <w:color w:val="000000"/>
                <w:sz w:val="24"/>
                <w:szCs w:val="24"/>
              </w:rPr>
            </w:pPr>
            <w:r>
              <w:rPr>
                <w:rFonts w:hint="default" w:ascii="Times New Roman" w:hAnsi="Times New Roman" w:eastAsia="仿宋" w:cs="Times New Roman"/>
                <w:b/>
                <w:color w:val="000000"/>
                <w:sz w:val="24"/>
                <w:szCs w:val="24"/>
              </w:rPr>
              <w:t>环保效果</w:t>
            </w:r>
          </w:p>
        </w:tc>
      </w:tr>
      <w:tr w14:paraId="0C3D9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779" w:type="dxa"/>
            <w:tcBorders>
              <w:left w:val="nil"/>
            </w:tcBorders>
            <w:vAlign w:val="center"/>
          </w:tcPr>
          <w:p w14:paraId="7CF9D1C1">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1</w:t>
            </w:r>
          </w:p>
        </w:tc>
        <w:tc>
          <w:tcPr>
            <w:tcW w:w="2335" w:type="dxa"/>
            <w:vAlign w:val="center"/>
          </w:tcPr>
          <w:p w14:paraId="062612D7">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污水收集、处理</w:t>
            </w:r>
          </w:p>
        </w:tc>
        <w:tc>
          <w:tcPr>
            <w:tcW w:w="1566" w:type="dxa"/>
            <w:vAlign w:val="center"/>
          </w:tcPr>
          <w:p w14:paraId="378632D2">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lang w:val="en-US" w:eastAsia="zh-CN"/>
                <w14:textFill>
                  <w14:solidFill>
                    <w14:schemeClr w14:val="tx1"/>
                  </w14:solidFill>
                </w14:textFill>
              </w:rPr>
              <w:t>500</w:t>
            </w:r>
          </w:p>
        </w:tc>
        <w:tc>
          <w:tcPr>
            <w:tcW w:w="1681" w:type="dxa"/>
            <w:vAlign w:val="center"/>
          </w:tcPr>
          <w:p w14:paraId="703C7B35">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0</w:t>
            </w:r>
          </w:p>
        </w:tc>
        <w:tc>
          <w:tcPr>
            <w:tcW w:w="2161" w:type="dxa"/>
            <w:tcBorders>
              <w:right w:val="nil"/>
            </w:tcBorders>
            <w:vAlign w:val="center"/>
          </w:tcPr>
          <w:p w14:paraId="096A244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废水达标接管</w:t>
            </w:r>
          </w:p>
        </w:tc>
      </w:tr>
      <w:tr w14:paraId="560B2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75" w:hRule="atLeast"/>
          <w:jc w:val="center"/>
        </w:trPr>
        <w:tc>
          <w:tcPr>
            <w:tcW w:w="779" w:type="dxa"/>
            <w:tcBorders>
              <w:left w:val="nil"/>
            </w:tcBorders>
            <w:vAlign w:val="center"/>
          </w:tcPr>
          <w:p w14:paraId="58E56354">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2</w:t>
            </w:r>
          </w:p>
        </w:tc>
        <w:tc>
          <w:tcPr>
            <w:tcW w:w="2335" w:type="dxa"/>
            <w:vAlign w:val="center"/>
          </w:tcPr>
          <w:p w14:paraId="28DAF1A6">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尾气吸收装置</w:t>
            </w:r>
          </w:p>
        </w:tc>
        <w:tc>
          <w:tcPr>
            <w:tcW w:w="1566" w:type="dxa"/>
            <w:vAlign w:val="center"/>
          </w:tcPr>
          <w:p w14:paraId="2A9F62F6">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lang w:val="en-US" w:eastAsia="zh-CN"/>
                <w14:textFill>
                  <w14:solidFill>
                    <w14:schemeClr w14:val="tx1"/>
                  </w14:solidFill>
                </w14:textFill>
              </w:rPr>
              <w:t>4560</w:t>
            </w:r>
          </w:p>
        </w:tc>
        <w:tc>
          <w:tcPr>
            <w:tcW w:w="1681" w:type="dxa"/>
            <w:vAlign w:val="center"/>
          </w:tcPr>
          <w:p w14:paraId="3429145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100</w:t>
            </w:r>
          </w:p>
        </w:tc>
        <w:tc>
          <w:tcPr>
            <w:tcW w:w="2161" w:type="dxa"/>
            <w:tcBorders>
              <w:right w:val="nil"/>
            </w:tcBorders>
            <w:vAlign w:val="center"/>
          </w:tcPr>
          <w:p w14:paraId="4C80DA6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废气达标排放</w:t>
            </w:r>
          </w:p>
        </w:tc>
      </w:tr>
      <w:tr w14:paraId="5E009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779" w:type="dxa"/>
            <w:tcBorders>
              <w:left w:val="nil"/>
            </w:tcBorders>
            <w:vAlign w:val="center"/>
          </w:tcPr>
          <w:p w14:paraId="10E7782D">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3</w:t>
            </w:r>
          </w:p>
        </w:tc>
        <w:tc>
          <w:tcPr>
            <w:tcW w:w="2335" w:type="dxa"/>
            <w:vAlign w:val="center"/>
          </w:tcPr>
          <w:p w14:paraId="214865CB">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噪声防治措施</w:t>
            </w:r>
          </w:p>
        </w:tc>
        <w:tc>
          <w:tcPr>
            <w:tcW w:w="1566" w:type="dxa"/>
            <w:vAlign w:val="center"/>
          </w:tcPr>
          <w:p w14:paraId="03E89345">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lang w:val="en-US" w:eastAsia="zh-CN"/>
                <w14:textFill>
                  <w14:solidFill>
                    <w14:schemeClr w14:val="tx1"/>
                  </w14:solidFill>
                </w14:textFill>
              </w:rPr>
              <w:t>20</w:t>
            </w:r>
          </w:p>
        </w:tc>
        <w:tc>
          <w:tcPr>
            <w:tcW w:w="1681" w:type="dxa"/>
            <w:vAlign w:val="center"/>
          </w:tcPr>
          <w:p w14:paraId="056F1FC1">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w:t>
            </w:r>
          </w:p>
        </w:tc>
        <w:tc>
          <w:tcPr>
            <w:tcW w:w="2161" w:type="dxa"/>
            <w:tcBorders>
              <w:right w:val="nil"/>
            </w:tcBorders>
            <w:vAlign w:val="center"/>
          </w:tcPr>
          <w:p w14:paraId="7058EB6E">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达标排放</w:t>
            </w:r>
          </w:p>
        </w:tc>
      </w:tr>
      <w:tr w14:paraId="4AEBE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779" w:type="dxa"/>
            <w:tcBorders>
              <w:left w:val="nil"/>
            </w:tcBorders>
            <w:vAlign w:val="center"/>
          </w:tcPr>
          <w:p w14:paraId="289CED14">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4</w:t>
            </w:r>
          </w:p>
        </w:tc>
        <w:tc>
          <w:tcPr>
            <w:tcW w:w="2335" w:type="dxa"/>
            <w:vAlign w:val="center"/>
          </w:tcPr>
          <w:p w14:paraId="71DD4BF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固废设施</w:t>
            </w:r>
          </w:p>
        </w:tc>
        <w:tc>
          <w:tcPr>
            <w:tcW w:w="1566" w:type="dxa"/>
            <w:vAlign w:val="center"/>
          </w:tcPr>
          <w:p w14:paraId="2177824D">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lang w:val="en-US" w:eastAsia="zh-CN"/>
                <w14:textFill>
                  <w14:solidFill>
                    <w14:schemeClr w14:val="tx1"/>
                  </w14:solidFill>
                </w14:textFill>
              </w:rPr>
              <w:t>10</w:t>
            </w:r>
          </w:p>
        </w:tc>
        <w:tc>
          <w:tcPr>
            <w:tcW w:w="1681" w:type="dxa"/>
            <w:vAlign w:val="center"/>
          </w:tcPr>
          <w:p w14:paraId="5141A844">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2</w:t>
            </w:r>
          </w:p>
        </w:tc>
        <w:tc>
          <w:tcPr>
            <w:tcW w:w="2161" w:type="dxa"/>
            <w:tcBorders>
              <w:right w:val="nil"/>
            </w:tcBorders>
            <w:vAlign w:val="center"/>
          </w:tcPr>
          <w:p w14:paraId="4327E7CB">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零排放</w:t>
            </w:r>
          </w:p>
        </w:tc>
      </w:tr>
      <w:tr w14:paraId="1A2BD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779" w:type="dxa"/>
            <w:tcBorders>
              <w:left w:val="nil"/>
            </w:tcBorders>
            <w:vAlign w:val="center"/>
          </w:tcPr>
          <w:p w14:paraId="6511012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5</w:t>
            </w:r>
          </w:p>
        </w:tc>
        <w:tc>
          <w:tcPr>
            <w:tcW w:w="2335" w:type="dxa"/>
            <w:vAlign w:val="center"/>
          </w:tcPr>
          <w:p w14:paraId="7A143EF2">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事故应急设施</w:t>
            </w:r>
          </w:p>
        </w:tc>
        <w:tc>
          <w:tcPr>
            <w:tcW w:w="1566" w:type="dxa"/>
            <w:vAlign w:val="center"/>
          </w:tcPr>
          <w:p w14:paraId="4977931F">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lang w:val="en-US" w:eastAsia="zh-CN"/>
                <w14:textFill>
                  <w14:solidFill>
                    <w14:schemeClr w14:val="tx1"/>
                  </w14:solidFill>
                </w14:textFill>
              </w:rPr>
              <w:t>60</w:t>
            </w:r>
          </w:p>
        </w:tc>
        <w:tc>
          <w:tcPr>
            <w:tcW w:w="1681" w:type="dxa"/>
            <w:vAlign w:val="center"/>
          </w:tcPr>
          <w:p w14:paraId="16BB7F7D">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w:t>
            </w:r>
          </w:p>
        </w:tc>
        <w:tc>
          <w:tcPr>
            <w:tcW w:w="2161" w:type="dxa"/>
            <w:tcBorders>
              <w:right w:val="nil"/>
            </w:tcBorders>
            <w:vAlign w:val="center"/>
          </w:tcPr>
          <w:p w14:paraId="68A8366F">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w:t>
            </w:r>
          </w:p>
        </w:tc>
      </w:tr>
      <w:tr w14:paraId="6C52D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779" w:type="dxa"/>
            <w:tcBorders>
              <w:left w:val="nil"/>
            </w:tcBorders>
            <w:vAlign w:val="center"/>
          </w:tcPr>
          <w:p w14:paraId="072CDC6E">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6</w:t>
            </w:r>
          </w:p>
        </w:tc>
        <w:tc>
          <w:tcPr>
            <w:tcW w:w="2335" w:type="dxa"/>
            <w:vAlign w:val="center"/>
          </w:tcPr>
          <w:p w14:paraId="68E7BEF2">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其他</w:t>
            </w:r>
          </w:p>
        </w:tc>
        <w:tc>
          <w:tcPr>
            <w:tcW w:w="1566" w:type="dxa"/>
            <w:vAlign w:val="center"/>
          </w:tcPr>
          <w:p w14:paraId="1C7F9B15">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lang w:val="en-US" w:eastAsia="zh-CN"/>
                <w14:textFill>
                  <w14:solidFill>
                    <w14:schemeClr w14:val="tx1"/>
                  </w14:solidFill>
                </w14:textFill>
              </w:rPr>
              <w:t>17</w:t>
            </w:r>
          </w:p>
        </w:tc>
        <w:tc>
          <w:tcPr>
            <w:tcW w:w="1681" w:type="dxa"/>
            <w:vAlign w:val="center"/>
          </w:tcPr>
          <w:p w14:paraId="6069366B">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lang w:val="en-US" w:eastAsia="zh-CN"/>
                <w14:textFill>
                  <w14:solidFill>
                    <w14:schemeClr w14:val="tx1"/>
                  </w14:solidFill>
                </w14:textFill>
              </w:rPr>
              <w:t>/</w:t>
            </w:r>
          </w:p>
        </w:tc>
        <w:tc>
          <w:tcPr>
            <w:tcW w:w="2161" w:type="dxa"/>
            <w:tcBorders>
              <w:right w:val="nil"/>
            </w:tcBorders>
            <w:vAlign w:val="center"/>
          </w:tcPr>
          <w:p w14:paraId="2DDD50A7">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themeColor="text1"/>
                <w:sz w:val="24"/>
                <w:szCs w:val="24"/>
                <w14:textFill>
                  <w14:solidFill>
                    <w14:schemeClr w14:val="tx1"/>
                  </w14:solidFill>
                </w14:textFill>
              </w:rPr>
              <w:t>/</w:t>
            </w:r>
          </w:p>
        </w:tc>
      </w:tr>
      <w:tr w14:paraId="55834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3114" w:type="dxa"/>
            <w:gridSpan w:val="2"/>
            <w:tcBorders>
              <w:left w:val="nil"/>
              <w:bottom w:val="single" w:color="auto" w:sz="12" w:space="0"/>
            </w:tcBorders>
            <w:vAlign w:val="center"/>
          </w:tcPr>
          <w:p w14:paraId="2C5D30B4">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合     计</w:t>
            </w:r>
          </w:p>
        </w:tc>
        <w:tc>
          <w:tcPr>
            <w:tcW w:w="1566" w:type="dxa"/>
            <w:tcBorders>
              <w:bottom w:val="single" w:color="auto" w:sz="12" w:space="0"/>
            </w:tcBorders>
            <w:vAlign w:val="center"/>
          </w:tcPr>
          <w:p w14:paraId="0E3FDEA1">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5167</w:t>
            </w:r>
          </w:p>
        </w:tc>
        <w:tc>
          <w:tcPr>
            <w:tcW w:w="1681" w:type="dxa"/>
            <w:tcBorders>
              <w:bottom w:val="single" w:color="auto" w:sz="12" w:space="0"/>
            </w:tcBorders>
            <w:vAlign w:val="center"/>
          </w:tcPr>
          <w:p w14:paraId="6F364799">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110</w:t>
            </w:r>
          </w:p>
        </w:tc>
        <w:tc>
          <w:tcPr>
            <w:tcW w:w="2161" w:type="dxa"/>
            <w:tcBorders>
              <w:bottom w:val="single" w:color="auto" w:sz="12" w:space="0"/>
              <w:right w:val="nil"/>
            </w:tcBorders>
            <w:vAlign w:val="center"/>
          </w:tcPr>
          <w:p w14:paraId="68D1C503">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w:t>
            </w:r>
          </w:p>
        </w:tc>
      </w:tr>
      <w:bookmarkEnd w:id="64"/>
    </w:tbl>
    <w:p w14:paraId="265CCEEB">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color w:val="000000" w:themeColor="text1"/>
          <w:sz w:val="24"/>
          <w:szCs w:val="24"/>
          <w:lang w:val="en-US" w:eastAsia="zh-CN"/>
          <w14:textFill>
            <w14:solidFill>
              <w14:schemeClr w14:val="tx1"/>
            </w14:solidFill>
          </w14:textFill>
        </w:rPr>
      </w:pPr>
      <w:bookmarkStart w:id="65" w:name="_Toc520410255"/>
      <w:r>
        <w:rPr>
          <w:rFonts w:hint="default" w:ascii="Times New Roman" w:hAnsi="Times New Roman" w:eastAsia="仿宋" w:cs="Times New Roman"/>
          <w:color w:val="000000" w:themeColor="text1"/>
          <w:sz w:val="24"/>
          <w:szCs w:val="24"/>
          <w:lang w:val="en-US" w:eastAsia="zh-CN"/>
          <w14:textFill>
            <w14:solidFill>
              <w14:schemeClr w14:val="tx1"/>
            </w14:solidFill>
          </w14:textFill>
        </w:rPr>
        <w:t>注：本次废水、固废及应急设施污染防治措施主要依托已建设施。</w:t>
      </w:r>
    </w:p>
    <w:p w14:paraId="5F979A31">
      <w:pPr>
        <w:pStyle w:val="4"/>
        <w:spacing w:beforeLines="0" w:afterLines="0"/>
        <w:rPr>
          <w:rFonts w:hint="default" w:ascii="Times New Roman" w:hAnsi="Times New Roman" w:cs="Times New Roman"/>
          <w:color w:val="000000"/>
        </w:rPr>
      </w:pPr>
      <w:r>
        <w:rPr>
          <w:rFonts w:hint="default" w:ascii="Times New Roman" w:hAnsi="Times New Roman" w:cs="Times New Roman"/>
          <w:color w:val="000000"/>
        </w:rPr>
        <w:t>4.3.2 “三同时”落实情况</w:t>
      </w:r>
      <w:bookmarkEnd w:id="65"/>
    </w:p>
    <w:p w14:paraId="6F173783">
      <w:pPr>
        <w:spacing w:line="480" w:lineRule="exact"/>
        <w:ind w:firstLine="560"/>
        <w:rPr>
          <w:rFonts w:hint="default" w:ascii="Times New Roman" w:hAnsi="Times New Roman" w:eastAsia="仿宋" w:cs="Times New Roman"/>
          <w:color w:val="000000"/>
          <w:highlight w:val="none"/>
        </w:rPr>
        <w:sectPr>
          <w:pgSz w:w="11906" w:h="16838"/>
          <w:pgMar w:top="1440" w:right="1800" w:bottom="1440" w:left="1800" w:header="851" w:footer="992" w:gutter="0"/>
          <w:cols w:space="425" w:num="1"/>
          <w:docGrid w:type="lines" w:linePitch="381" w:charSpace="0"/>
        </w:sectPr>
      </w:pPr>
      <w:r>
        <w:rPr>
          <w:rFonts w:hint="default" w:ascii="Times New Roman" w:hAnsi="Times New Roman" w:eastAsia="仿宋" w:cs="Times New Roman"/>
          <w:color w:val="000000"/>
          <w:highlight w:val="none"/>
        </w:rPr>
        <w:t>本项目</w:t>
      </w:r>
      <w:r>
        <w:rPr>
          <w:rFonts w:hint="default" w:ascii="Times New Roman" w:hAnsi="Times New Roman" w:eastAsia="仿宋" w:cs="Times New Roman"/>
          <w:color w:val="000000"/>
          <w:highlight w:val="none"/>
          <w:lang w:val="en-US" w:eastAsia="zh-CN"/>
        </w:rPr>
        <w:t>废水</w:t>
      </w:r>
      <w:r>
        <w:rPr>
          <w:rFonts w:hint="default" w:ascii="Times New Roman" w:hAnsi="Times New Roman" w:eastAsia="仿宋" w:cs="Times New Roman"/>
          <w:color w:val="000000"/>
          <w:highlight w:val="none"/>
        </w:rPr>
        <w:t>处理设施依托</w:t>
      </w:r>
      <w:r>
        <w:rPr>
          <w:rFonts w:hint="default" w:ascii="Times New Roman" w:hAnsi="Times New Roman" w:eastAsia="仿宋" w:cs="Times New Roman"/>
          <w:color w:val="000000"/>
          <w:highlight w:val="none"/>
          <w:lang w:val="en-US" w:eastAsia="zh-CN"/>
        </w:rPr>
        <w:t>已建设施，</w:t>
      </w:r>
      <w:r>
        <w:rPr>
          <w:rFonts w:hint="default" w:ascii="Times New Roman" w:hAnsi="Times New Roman" w:eastAsia="仿宋" w:cs="Times New Roman"/>
          <w:color w:val="000000"/>
          <w:highlight w:val="none"/>
        </w:rPr>
        <w:t>废气由</w:t>
      </w:r>
      <w:r>
        <w:rPr>
          <w:rFonts w:hint="default" w:ascii="Times New Roman" w:hAnsi="Times New Roman" w:eastAsia="仿宋" w:cs="Times New Roman"/>
          <w:color w:val="000000"/>
          <w:highlight w:val="none"/>
          <w:lang w:val="en-US" w:eastAsia="zh-CN"/>
        </w:rPr>
        <w:t>江苏齐清环境科技有限公司</w:t>
      </w:r>
      <w:r>
        <w:rPr>
          <w:rFonts w:hint="default" w:ascii="Times New Roman" w:hAnsi="Times New Roman" w:eastAsia="仿宋" w:cs="Times New Roman"/>
          <w:color w:val="000000"/>
          <w:highlight w:val="none"/>
        </w:rPr>
        <w:t>设计</w:t>
      </w:r>
      <w:r>
        <w:rPr>
          <w:rFonts w:hint="default" w:ascii="Times New Roman" w:hAnsi="Times New Roman" w:eastAsia="仿宋" w:cs="Times New Roman"/>
          <w:color w:val="000000"/>
          <w:highlight w:val="none"/>
          <w:lang w:eastAsia="zh-CN"/>
        </w:rPr>
        <w:t>，</w:t>
      </w:r>
      <w:r>
        <w:rPr>
          <w:rFonts w:hint="default" w:ascii="Times New Roman" w:hAnsi="Times New Roman" w:eastAsia="仿宋" w:cs="Times New Roman"/>
          <w:color w:val="000000"/>
          <w:highlight w:val="none"/>
          <w:lang w:val="en-US" w:eastAsia="zh-CN"/>
        </w:rPr>
        <w:t>自行</w:t>
      </w:r>
      <w:r>
        <w:rPr>
          <w:rFonts w:hint="default" w:ascii="Times New Roman" w:hAnsi="Times New Roman" w:eastAsia="仿宋" w:cs="Times New Roman"/>
          <w:color w:val="000000"/>
          <w:highlight w:val="none"/>
        </w:rPr>
        <w:t>施工安装。</w:t>
      </w:r>
      <w:bookmarkStart w:id="66" w:name="OLE_LINK20"/>
      <w:r>
        <w:rPr>
          <w:rFonts w:hint="default" w:ascii="Times New Roman" w:hAnsi="Times New Roman" w:eastAsia="仿宋" w:cs="Times New Roman"/>
          <w:color w:val="000000"/>
          <w:highlight w:val="none"/>
          <w:lang w:val="en-US" w:eastAsia="zh-CN"/>
        </w:rPr>
        <w:t>主要验收内容涉及新增</w:t>
      </w:r>
      <w:r>
        <w:rPr>
          <w:rFonts w:hint="default" w:ascii="Times New Roman" w:hAnsi="Times New Roman" w:eastAsia="仿宋" w:cs="Times New Roman"/>
          <w:color w:val="000000"/>
          <w:highlight w:val="none"/>
        </w:rPr>
        <w:t>废气处理</w:t>
      </w:r>
      <w:bookmarkStart w:id="67" w:name="OLE_LINK16"/>
      <w:r>
        <w:rPr>
          <w:rFonts w:hint="default" w:ascii="Times New Roman" w:hAnsi="Times New Roman" w:eastAsia="仿宋" w:cs="Times New Roman"/>
          <w:color w:val="000000"/>
          <w:highlight w:val="none"/>
          <w:lang w:val="en-US" w:eastAsia="zh-CN"/>
        </w:rPr>
        <w:t>1</w:t>
      </w:r>
      <w:r>
        <w:rPr>
          <w:rFonts w:hint="default" w:ascii="Times New Roman" w:hAnsi="Times New Roman" w:eastAsia="仿宋" w:cs="Times New Roman"/>
          <w:color w:val="000000"/>
          <w:highlight w:val="none"/>
        </w:rPr>
        <w:t>套</w:t>
      </w:r>
      <w:r>
        <w:rPr>
          <w:rFonts w:hint="default" w:ascii="Times New Roman" w:hAnsi="Times New Roman" w:eastAsia="仿宋" w:cs="Times New Roman"/>
          <w:color w:val="000000"/>
          <w:highlight w:val="none"/>
          <w:lang w:val="en-US" w:eastAsia="zh-CN"/>
        </w:rPr>
        <w:t>高效</w:t>
      </w:r>
      <w:r>
        <w:rPr>
          <w:rFonts w:hint="default" w:ascii="Times New Roman" w:hAnsi="Times New Roman" w:eastAsia="仿宋" w:cs="Times New Roman"/>
          <w:color w:val="000000"/>
          <w:highlight w:val="none"/>
        </w:rPr>
        <w:t>静电油雾净化装置</w:t>
      </w:r>
      <w:r>
        <w:rPr>
          <w:rFonts w:hint="default" w:ascii="Times New Roman" w:hAnsi="Times New Roman" w:eastAsia="仿宋" w:cs="Times New Roman"/>
          <w:color w:val="000000"/>
          <w:highlight w:val="none"/>
          <w:lang w:eastAsia="zh-CN"/>
        </w:rPr>
        <w:t>、</w:t>
      </w:r>
      <w:r>
        <w:rPr>
          <w:rFonts w:hint="default" w:ascii="Times New Roman" w:hAnsi="Times New Roman" w:eastAsia="仿宋" w:cs="Times New Roman"/>
          <w:color w:val="000000"/>
          <w:highlight w:val="none"/>
          <w:lang w:val="en-US" w:eastAsia="zh-CN"/>
        </w:rPr>
        <w:t>2</w:t>
      </w:r>
      <w:r>
        <w:rPr>
          <w:rFonts w:hint="default" w:ascii="Times New Roman" w:hAnsi="Times New Roman" w:eastAsia="仿宋" w:cs="Times New Roman"/>
          <w:color w:val="000000"/>
          <w:highlight w:val="none"/>
        </w:rPr>
        <w:t>套装置碳纤维吸附</w:t>
      </w:r>
      <w:r>
        <w:rPr>
          <w:rFonts w:hint="default" w:ascii="Times New Roman" w:hAnsi="Times New Roman" w:eastAsia="仿宋" w:cs="Times New Roman"/>
          <w:color w:val="000000"/>
          <w:highlight w:val="none"/>
          <w:lang w:val="en-US" w:eastAsia="zh-CN"/>
        </w:rPr>
        <w:t>+蒸汽脱附</w:t>
      </w:r>
      <w:r>
        <w:rPr>
          <w:rFonts w:hint="default" w:ascii="Times New Roman" w:hAnsi="Times New Roman" w:eastAsia="仿宋" w:cs="Times New Roman"/>
          <w:color w:val="000000"/>
          <w:highlight w:val="none"/>
        </w:rPr>
        <w:t>装置</w:t>
      </w:r>
      <w:bookmarkEnd w:id="66"/>
      <w:bookmarkEnd w:id="67"/>
      <w:r>
        <w:rPr>
          <w:rFonts w:hint="default" w:ascii="Times New Roman" w:hAnsi="Times New Roman" w:eastAsia="仿宋" w:cs="Times New Roman"/>
          <w:color w:val="000000"/>
          <w:highlight w:val="none"/>
        </w:rPr>
        <w:t>，项目的环境保护设施与主体工程同时设计、同时施工、同时投入使用。</w:t>
      </w:r>
    </w:p>
    <w:p w14:paraId="2A04967C">
      <w:pPr>
        <w:pStyle w:val="2"/>
        <w:spacing w:before="381" w:after="381" w:line="460" w:lineRule="exact"/>
        <w:rPr>
          <w:rFonts w:hint="default" w:ascii="Times New Roman" w:hAnsi="Times New Roman" w:cs="Times New Roman"/>
          <w:color w:val="000000"/>
          <w:sz w:val="32"/>
          <w:szCs w:val="32"/>
        </w:rPr>
      </w:pPr>
      <w:bookmarkStart w:id="68" w:name="_Toc10931"/>
      <w:bookmarkStart w:id="69" w:name="_Toc520410256"/>
      <w:bookmarkStart w:id="70" w:name="_Toc5204535"/>
      <w:r>
        <w:rPr>
          <w:rFonts w:hint="default" w:ascii="Times New Roman" w:hAnsi="Times New Roman" w:cs="Times New Roman"/>
          <w:color w:val="000000"/>
          <w:sz w:val="32"/>
          <w:szCs w:val="32"/>
        </w:rPr>
        <w:t>5项目环评报告书主要结论与建议及审批部门审批决定</w:t>
      </w:r>
      <w:bookmarkEnd w:id="68"/>
      <w:bookmarkEnd w:id="69"/>
      <w:bookmarkEnd w:id="70"/>
    </w:p>
    <w:p w14:paraId="30086B8D">
      <w:pPr>
        <w:pStyle w:val="3"/>
        <w:spacing w:before="120" w:after="120"/>
        <w:ind w:firstLine="0" w:firstLineChars="0"/>
        <w:rPr>
          <w:rFonts w:hint="default" w:ascii="Times New Roman" w:hAnsi="Times New Roman" w:cs="Times New Roman"/>
          <w:color w:val="000000"/>
        </w:rPr>
      </w:pPr>
      <w:bookmarkStart w:id="71" w:name="_Toc520410257"/>
      <w:bookmarkStart w:id="72" w:name="_Toc16943"/>
      <w:bookmarkStart w:id="73" w:name="_Toc13572"/>
      <w:bookmarkStart w:id="74" w:name="_Toc25683"/>
      <w:r>
        <w:rPr>
          <w:rFonts w:hint="default" w:ascii="Times New Roman" w:hAnsi="Times New Roman" w:cs="Times New Roman"/>
          <w:color w:val="000000"/>
        </w:rPr>
        <w:t>5.1</w:t>
      </w:r>
      <w:r>
        <w:rPr>
          <w:rFonts w:hint="default" w:ascii="Times New Roman" w:hAnsi="Times New Roman" w:cs="Times New Roman"/>
          <w:color w:val="000000"/>
          <w:lang w:val="en-US" w:eastAsia="zh-CN"/>
        </w:rPr>
        <w:t xml:space="preserve"> 项目环评报告书主要结论</w:t>
      </w:r>
      <w:bookmarkEnd w:id="71"/>
      <w:bookmarkEnd w:id="72"/>
      <w:bookmarkEnd w:id="73"/>
      <w:bookmarkEnd w:id="74"/>
    </w:p>
    <w:p w14:paraId="46D742A1">
      <w:pPr>
        <w:spacing w:line="600" w:lineRule="exact"/>
        <w:ind w:firstLine="0" w:firstLineChars="0"/>
        <w:rPr>
          <w:rFonts w:hint="default" w:ascii="Times New Roman" w:hAnsi="Times New Roman" w:eastAsia="仿宋" w:cs="Times New Roman"/>
          <w:b/>
          <w:bCs/>
          <w:sz w:val="28"/>
          <w:szCs w:val="28"/>
          <w:lang w:eastAsia="zh-CN"/>
        </w:rPr>
      </w:pPr>
      <w:r>
        <w:rPr>
          <w:rFonts w:hint="default" w:ascii="Times New Roman" w:hAnsi="Times New Roman" w:eastAsia="仿宋" w:cs="Times New Roman"/>
          <w:b/>
          <w:bCs/>
          <w:sz w:val="28"/>
          <w:szCs w:val="28"/>
        </w:rPr>
        <w:t>《江苏九州星际新材料有限公司20000 吨/年超高分子量聚乙烯纤维项目环评报告书》</w:t>
      </w:r>
      <w:bookmarkStart w:id="75" w:name="10.9总结论"/>
      <w:bookmarkEnd w:id="75"/>
      <w:bookmarkStart w:id="76" w:name="_bookmark68"/>
      <w:bookmarkEnd w:id="76"/>
      <w:r>
        <w:rPr>
          <w:rFonts w:hint="default" w:ascii="Times New Roman" w:hAnsi="Times New Roman" w:eastAsia="仿宋" w:cs="Times New Roman"/>
          <w:b/>
          <w:bCs/>
          <w:sz w:val="28"/>
          <w:szCs w:val="28"/>
          <w:lang w:val="en-US" w:eastAsia="zh-CN"/>
        </w:rPr>
        <w:t>主要</w:t>
      </w:r>
      <w:r>
        <w:rPr>
          <w:rFonts w:hint="default" w:ascii="Times New Roman" w:hAnsi="Times New Roman" w:eastAsia="仿宋" w:cs="Times New Roman"/>
          <w:b/>
          <w:bCs/>
          <w:sz w:val="28"/>
          <w:szCs w:val="28"/>
        </w:rPr>
        <w:t>结论</w:t>
      </w:r>
      <w:r>
        <w:rPr>
          <w:rFonts w:hint="default" w:ascii="Times New Roman" w:hAnsi="Times New Roman" w:eastAsia="仿宋" w:cs="Times New Roman"/>
          <w:b/>
          <w:bCs/>
          <w:sz w:val="28"/>
          <w:szCs w:val="28"/>
          <w:lang w:eastAsia="zh-CN"/>
        </w:rPr>
        <w:t>：</w:t>
      </w:r>
    </w:p>
    <w:p w14:paraId="6AA52DCB">
      <w:pPr>
        <w:spacing w:line="600" w:lineRule="exact"/>
        <w:ind w:firstLine="56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项目属于[C2829]其它合成纤维制造，为新建项目。项目建设符合国家和地方的产业政策；项目厂址选择符合园区用地规划和产业定位。项目采用的工艺成熟、环保、节能，符合清洁生产和循环经济要求；项目通过采取必要的污染防治措施能够满足国家、地方和行业规定的污染物排放标准；项目污染物达标排放，总量指标可在如东县区域内平衡；根据项目环境影响预测评价结果，项目建成后对周边环境影响较小，不会降低区域功能类别，项目经采取有效的事故防范、减缓措施，项目环境风险水平可以接受。因此，从环境影响的角度看，在各项环保措施落实到位，新征用地地块符合相应规划用地土壤环境质量要求的前提下，本项目环境影响可以接受。</w:t>
      </w:r>
    </w:p>
    <w:p w14:paraId="7C225636">
      <w:pPr>
        <w:pStyle w:val="3"/>
        <w:spacing w:before="120" w:after="120"/>
        <w:ind w:firstLine="0" w:firstLineChars="0"/>
        <w:rPr>
          <w:rFonts w:hint="default" w:ascii="Times New Roman" w:hAnsi="Times New Roman" w:cs="Times New Roman"/>
          <w:color w:val="000000"/>
        </w:rPr>
      </w:pPr>
      <w:bookmarkStart w:id="77" w:name="_Toc16611"/>
      <w:bookmarkStart w:id="78" w:name="_Toc3860"/>
      <w:r>
        <w:rPr>
          <w:rFonts w:hint="default" w:ascii="Times New Roman" w:hAnsi="Times New Roman" w:cs="Times New Roman"/>
          <w:color w:val="000000"/>
        </w:rPr>
        <w:t>5.2 审批部门审批决定</w:t>
      </w:r>
      <w:bookmarkEnd w:id="77"/>
      <w:bookmarkEnd w:id="78"/>
    </w:p>
    <w:p w14:paraId="7774F67A">
      <w:pPr>
        <w:spacing w:line="600" w:lineRule="exact"/>
        <w:ind w:firstLine="562"/>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关于《</w:t>
      </w:r>
      <w:r>
        <w:rPr>
          <w:rFonts w:hint="default" w:ascii="Times New Roman" w:hAnsi="Times New Roman" w:eastAsia="仿宋" w:cs="Times New Roman"/>
          <w:b/>
          <w:bCs/>
          <w:sz w:val="28"/>
          <w:szCs w:val="28"/>
          <w:lang w:eastAsia="zh-CN"/>
        </w:rPr>
        <w:t>江苏九州星际新材料有限公司20000 吨/年超高分子量聚乙烯纤维项目</w:t>
      </w:r>
      <w:r>
        <w:rPr>
          <w:rFonts w:hint="default" w:ascii="Times New Roman" w:hAnsi="Times New Roman" w:eastAsia="仿宋" w:cs="Times New Roman"/>
          <w:b/>
          <w:bCs/>
          <w:sz w:val="28"/>
          <w:szCs w:val="28"/>
        </w:rPr>
        <w:t>环境影响报告书》的批复</w:t>
      </w:r>
    </w:p>
    <w:p w14:paraId="10EB6FDA">
      <w:pPr>
        <w:bidi w:val="0"/>
        <w:rPr>
          <w:rFonts w:hint="default" w:ascii="Times New Roman" w:hAnsi="Times New Roman" w:eastAsia="仿宋" w:cs="Times New Roman"/>
          <w:b/>
          <w:bCs/>
          <w:kern w:val="2"/>
          <w:sz w:val="28"/>
          <w:szCs w:val="28"/>
          <w:lang w:val="en-US" w:eastAsia="zh-CN" w:bidi="ar-SA"/>
        </w:rPr>
      </w:pPr>
      <w:r>
        <w:rPr>
          <w:rFonts w:hint="eastAsia" w:eastAsia="仿宋" w:cs="Times New Roman"/>
          <w:b/>
          <w:bCs/>
          <w:kern w:val="2"/>
          <w:sz w:val="28"/>
          <w:szCs w:val="28"/>
          <w:lang w:val="en-US" w:eastAsia="zh-CN" w:bidi="ar-SA"/>
        </w:rPr>
        <w:t>涉密删除</w:t>
      </w:r>
      <w:r>
        <w:rPr>
          <w:rFonts w:hint="default" w:ascii="Times New Roman" w:hAnsi="Times New Roman" w:eastAsia="仿宋" w:cs="Times New Roman"/>
          <w:b/>
          <w:bCs/>
          <w:kern w:val="2"/>
          <w:sz w:val="28"/>
          <w:szCs w:val="28"/>
          <w:lang w:val="en-US" w:eastAsia="zh-CN" w:bidi="ar-SA"/>
        </w:rPr>
        <w:t>。</w:t>
      </w:r>
    </w:p>
    <w:p w14:paraId="1A1DB5AD">
      <w:pPr>
        <w:keepNext w:val="0"/>
        <w:keepLines w:val="0"/>
        <w:pageBreakBefore w:val="0"/>
        <w:widowControl/>
        <w:kinsoku/>
        <w:wordWrap/>
        <w:overflowPunct/>
        <w:topLinePunct w:val="0"/>
        <w:autoSpaceDE/>
        <w:autoSpaceDN/>
        <w:bidi w:val="0"/>
        <w:adjustRightInd/>
        <w:snapToGrid/>
        <w:spacing w:line="480" w:lineRule="exact"/>
        <w:ind w:firstLine="560"/>
        <w:textAlignment w:val="auto"/>
        <w:rPr>
          <w:rFonts w:hint="default" w:ascii="Times New Roman" w:hAnsi="Times New Roman" w:eastAsia="仿宋" w:cs="Times New Roman"/>
          <w:sz w:val="28"/>
          <w:szCs w:val="28"/>
        </w:rPr>
      </w:pPr>
    </w:p>
    <w:p w14:paraId="572C26D6">
      <w:pPr>
        <w:pStyle w:val="10"/>
        <w:spacing w:line="480" w:lineRule="exact"/>
        <w:ind w:firstLine="560"/>
        <w:rPr>
          <w:rFonts w:hint="default" w:ascii="Times New Roman" w:hAnsi="Times New Roman" w:eastAsia="仿宋" w:cs="Times New Roman"/>
        </w:rPr>
      </w:pPr>
    </w:p>
    <w:p w14:paraId="3C0BEED7">
      <w:pPr>
        <w:pStyle w:val="10"/>
        <w:ind w:firstLine="480"/>
        <w:rPr>
          <w:rFonts w:hint="default" w:ascii="Times New Roman" w:hAnsi="Times New Roman" w:cs="Times New Roman"/>
        </w:rPr>
      </w:pPr>
      <w:r>
        <w:rPr>
          <w:rFonts w:hint="default" w:ascii="Times New Roman" w:hAnsi="Times New Roman" w:cs="Times New Roman"/>
        </w:rPr>
        <w:t xml:space="preserve">                                              </w:t>
      </w:r>
    </w:p>
    <w:p w14:paraId="694E3B51">
      <w:pPr>
        <w:pStyle w:val="2"/>
        <w:spacing w:before="381" w:after="381" w:line="460" w:lineRule="exact"/>
        <w:rPr>
          <w:rFonts w:hint="default" w:ascii="Times New Roman" w:hAnsi="Times New Roman" w:cs="Times New Roman"/>
          <w:color w:val="000000"/>
        </w:rPr>
      </w:pPr>
      <w:bookmarkStart w:id="79" w:name="_Toc520410261"/>
      <w:bookmarkStart w:id="80" w:name="_Toc5204538"/>
      <w:bookmarkStart w:id="81" w:name="_Toc1614"/>
      <w:r>
        <w:rPr>
          <w:rFonts w:hint="default" w:ascii="Times New Roman" w:hAnsi="Times New Roman" w:cs="Times New Roman"/>
          <w:color w:val="000000"/>
        </w:rPr>
        <w:t>6  验收执行标准</w:t>
      </w:r>
      <w:bookmarkEnd w:id="79"/>
      <w:bookmarkEnd w:id="80"/>
      <w:bookmarkEnd w:id="81"/>
    </w:p>
    <w:p w14:paraId="2CB9B227">
      <w:pPr>
        <w:pStyle w:val="3"/>
        <w:spacing w:before="120" w:after="120"/>
        <w:ind w:firstLine="0" w:firstLineChars="0"/>
        <w:rPr>
          <w:rFonts w:hint="default" w:ascii="Times New Roman" w:hAnsi="Times New Roman" w:cs="Times New Roman"/>
          <w:color w:val="000000"/>
        </w:rPr>
      </w:pPr>
      <w:bookmarkStart w:id="82" w:name="_Toc950"/>
      <w:bookmarkStart w:id="83" w:name="_Toc32525"/>
      <w:bookmarkStart w:id="84" w:name="_Toc520410262"/>
      <w:r>
        <w:rPr>
          <w:rFonts w:hint="default" w:ascii="Times New Roman" w:hAnsi="Times New Roman" w:cs="Times New Roman"/>
          <w:color w:val="000000"/>
        </w:rPr>
        <w:t>6.1 废水</w:t>
      </w:r>
      <w:bookmarkEnd w:id="82"/>
      <w:bookmarkEnd w:id="83"/>
      <w:bookmarkEnd w:id="84"/>
    </w:p>
    <w:p w14:paraId="7B7E14A5">
      <w:pPr>
        <w:pStyle w:val="11"/>
        <w:tabs>
          <w:tab w:val="left" w:pos="6480"/>
        </w:tabs>
        <w:spacing w:after="0" w:line="360" w:lineRule="auto"/>
        <w:ind w:left="0" w:leftChars="0" w:firstLine="560"/>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本项目运营期工艺废水、循环冷却水系统排水、生活污水、地面清洗用水、喷淋塔用水、真空清洗炉用水、初期雨水经厂区污水处理站处理后达《污水综合排放标准》(GB8978-1996)中三级标准，氨氮和总磷达《污水排入城市下水道水质标准》(GB/T31962-2015)标准，同时满足苏环洋口港(南通)水务有限公司接管要求后，纳入市政污水管网送洋口港经济开发区污水处理厂集中处理。各标准限值详见表6.1-1。</w:t>
      </w:r>
    </w:p>
    <w:p w14:paraId="1DE05271">
      <w:pPr>
        <w:ind w:firstLine="0" w:firstLineChars="0"/>
        <w:jc w:val="center"/>
        <w:rPr>
          <w:rFonts w:hint="default" w:ascii="Times New Roman" w:hAnsi="Times New Roman" w:eastAsia="仿宋" w:cs="Times New Roman"/>
          <w:b/>
          <w:color w:val="000000" w:themeColor="text1"/>
          <w:sz w:val="28"/>
          <w14:textFill>
            <w14:solidFill>
              <w14:schemeClr w14:val="tx1"/>
            </w14:solidFill>
          </w14:textFill>
        </w:rPr>
      </w:pPr>
      <w:r>
        <w:rPr>
          <w:rFonts w:hint="default" w:ascii="Times New Roman" w:hAnsi="Times New Roman" w:eastAsia="仿宋" w:cs="Times New Roman"/>
          <w:b/>
          <w:color w:val="000000" w:themeColor="text1"/>
          <w:sz w:val="28"/>
          <w14:textFill>
            <w14:solidFill>
              <w14:schemeClr w14:val="tx1"/>
            </w14:solidFill>
          </w14:textFill>
        </w:rPr>
        <w:t>表6.1-1  项目污水排放标准</w:t>
      </w:r>
    </w:p>
    <w:p w14:paraId="4B8CE332">
      <w:pPr>
        <w:ind w:firstLine="0" w:firstLineChars="0"/>
        <w:jc w:val="right"/>
        <w:rPr>
          <w:rFonts w:hint="default" w:ascii="Times New Roman" w:hAnsi="Times New Roman" w:eastAsia="仿宋" w:cs="Times New Roman"/>
          <w:b/>
          <w:color w:val="000000" w:themeColor="text1"/>
          <w:sz w:val="28"/>
          <w14:textFill>
            <w14:solidFill>
              <w14:schemeClr w14:val="tx1"/>
            </w14:solidFill>
          </w14:textFill>
        </w:rPr>
      </w:pPr>
      <w:r>
        <w:rPr>
          <w:rFonts w:hint="default" w:ascii="Times New Roman" w:hAnsi="Times New Roman" w:eastAsia="仿宋" w:cs="Times New Roman"/>
          <w:bCs/>
          <w:color w:val="000000" w:themeColor="text1"/>
          <w:sz w:val="21"/>
          <w:szCs w:val="21"/>
          <w14:textFill>
            <w14:solidFill>
              <w14:schemeClr w14:val="tx1"/>
            </w14:solidFill>
          </w14:textFill>
        </w:rPr>
        <w:t>单位：mg/L（pH值无量纲）</w:t>
      </w:r>
    </w:p>
    <w:tbl>
      <w:tblPr>
        <w:tblStyle w:val="25"/>
        <w:tblpPr w:leftFromText="180" w:rightFromText="180" w:vertAnchor="text" w:horzAnchor="page" w:tblpX="2061" w:tblpY="150"/>
        <w:tblOverlap w:val="never"/>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960"/>
        <w:gridCol w:w="1212"/>
        <w:gridCol w:w="1064"/>
        <w:gridCol w:w="1301"/>
        <w:gridCol w:w="1219"/>
        <w:gridCol w:w="1051"/>
      </w:tblGrid>
      <w:tr w14:paraId="76227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714" w:type="dxa"/>
            <w:vAlign w:val="center"/>
          </w:tcPr>
          <w:p w14:paraId="6E426456">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b/>
                <w:color w:val="000000" w:themeColor="text1"/>
                <w:szCs w:val="24"/>
                <w14:textFill>
                  <w14:solidFill>
                    <w14:schemeClr w14:val="tx1"/>
                  </w14:solidFill>
                </w14:textFill>
              </w:rPr>
            </w:pPr>
            <w:r>
              <w:rPr>
                <w:rFonts w:hint="default" w:ascii="Times New Roman" w:hAnsi="Times New Roman" w:eastAsia="仿宋" w:cs="Times New Roman"/>
                <w:b/>
                <w:color w:val="000000" w:themeColor="text1"/>
                <w:szCs w:val="24"/>
                <w14:textFill>
                  <w14:solidFill>
                    <w14:schemeClr w14:val="tx1"/>
                  </w14:solidFill>
                </w14:textFill>
              </w:rPr>
              <w:t>污染物名称</w:t>
            </w:r>
          </w:p>
        </w:tc>
        <w:tc>
          <w:tcPr>
            <w:tcW w:w="960" w:type="dxa"/>
            <w:vAlign w:val="center"/>
          </w:tcPr>
          <w:p w14:paraId="355B9C70">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b/>
                <w:color w:val="000000" w:themeColor="text1"/>
                <w:szCs w:val="24"/>
                <w:highlight w:val="none"/>
                <w14:textFill>
                  <w14:solidFill>
                    <w14:schemeClr w14:val="tx1"/>
                  </w14:solidFill>
                </w14:textFill>
              </w:rPr>
            </w:pPr>
            <w:r>
              <w:rPr>
                <w:rFonts w:hint="default" w:ascii="Times New Roman" w:hAnsi="Times New Roman" w:eastAsia="仿宋" w:cs="Times New Roman"/>
                <w:b/>
                <w:color w:val="000000" w:themeColor="text1"/>
                <w:szCs w:val="24"/>
                <w:highlight w:val="none"/>
                <w14:textFill>
                  <w14:solidFill>
                    <w14:schemeClr w14:val="tx1"/>
                  </w14:solidFill>
                </w14:textFill>
              </w:rPr>
              <w:t>pH</w:t>
            </w:r>
          </w:p>
        </w:tc>
        <w:tc>
          <w:tcPr>
            <w:tcW w:w="1212" w:type="dxa"/>
            <w:vAlign w:val="center"/>
          </w:tcPr>
          <w:p w14:paraId="180F06A3">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b/>
                <w:color w:val="000000" w:themeColor="text1"/>
                <w:szCs w:val="24"/>
                <w:highlight w:val="none"/>
                <w14:textFill>
                  <w14:solidFill>
                    <w14:schemeClr w14:val="tx1"/>
                  </w14:solidFill>
                </w14:textFill>
              </w:rPr>
            </w:pPr>
            <w:r>
              <w:rPr>
                <w:rFonts w:hint="default" w:ascii="Times New Roman" w:hAnsi="Times New Roman" w:eastAsia="仿宋" w:cs="Times New Roman"/>
                <w:b/>
                <w:color w:val="000000" w:themeColor="text1"/>
                <w:szCs w:val="24"/>
                <w:highlight w:val="none"/>
                <w14:textFill>
                  <w14:solidFill>
                    <w14:schemeClr w14:val="tx1"/>
                  </w14:solidFill>
                </w14:textFill>
              </w:rPr>
              <w:t>COD</w:t>
            </w:r>
          </w:p>
        </w:tc>
        <w:tc>
          <w:tcPr>
            <w:tcW w:w="1064" w:type="dxa"/>
            <w:vAlign w:val="center"/>
          </w:tcPr>
          <w:p w14:paraId="1BADFDE7">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b/>
                <w:color w:val="000000" w:themeColor="text1"/>
                <w:szCs w:val="24"/>
                <w:highlight w:val="none"/>
                <w14:textFill>
                  <w14:solidFill>
                    <w14:schemeClr w14:val="tx1"/>
                  </w14:solidFill>
                </w14:textFill>
              </w:rPr>
            </w:pPr>
            <w:r>
              <w:rPr>
                <w:rFonts w:hint="default" w:ascii="Times New Roman" w:hAnsi="Times New Roman" w:eastAsia="仿宋" w:cs="Times New Roman"/>
                <w:b/>
                <w:color w:val="000000" w:themeColor="text1"/>
                <w:szCs w:val="24"/>
                <w:highlight w:val="none"/>
                <w14:textFill>
                  <w14:solidFill>
                    <w14:schemeClr w14:val="tx1"/>
                  </w14:solidFill>
                </w14:textFill>
              </w:rPr>
              <w:t>SS</w:t>
            </w:r>
          </w:p>
        </w:tc>
        <w:tc>
          <w:tcPr>
            <w:tcW w:w="1301" w:type="dxa"/>
            <w:vAlign w:val="center"/>
          </w:tcPr>
          <w:p w14:paraId="240BF250">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b/>
                <w:color w:val="000000" w:themeColor="text1"/>
                <w:szCs w:val="24"/>
                <w:highlight w:val="none"/>
                <w14:textFill>
                  <w14:solidFill>
                    <w14:schemeClr w14:val="tx1"/>
                  </w14:solidFill>
                </w14:textFill>
              </w:rPr>
            </w:pPr>
            <w:r>
              <w:rPr>
                <w:rFonts w:hint="default" w:ascii="Times New Roman" w:hAnsi="Times New Roman" w:eastAsia="仿宋" w:cs="Times New Roman"/>
                <w:b/>
                <w:color w:val="000000" w:themeColor="text1"/>
                <w:szCs w:val="24"/>
                <w:highlight w:val="none"/>
                <w14:textFill>
                  <w14:solidFill>
                    <w14:schemeClr w14:val="tx1"/>
                  </w14:solidFill>
                </w14:textFill>
              </w:rPr>
              <w:t>氨氮</w:t>
            </w:r>
          </w:p>
        </w:tc>
        <w:tc>
          <w:tcPr>
            <w:tcW w:w="1219" w:type="dxa"/>
          </w:tcPr>
          <w:p w14:paraId="574510D0">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b/>
                <w:color w:val="000000" w:themeColor="text1"/>
                <w:szCs w:val="24"/>
                <w:highlight w:val="none"/>
                <w14:textFill>
                  <w14:solidFill>
                    <w14:schemeClr w14:val="tx1"/>
                  </w14:solidFill>
                </w14:textFill>
              </w:rPr>
            </w:pPr>
            <w:r>
              <w:rPr>
                <w:rFonts w:hint="default" w:ascii="Times New Roman" w:hAnsi="Times New Roman" w:eastAsia="仿宋" w:cs="Times New Roman"/>
                <w:b/>
                <w:color w:val="000000" w:themeColor="text1"/>
                <w:szCs w:val="24"/>
                <w:highlight w:val="none"/>
                <w14:textFill>
                  <w14:solidFill>
                    <w14:schemeClr w14:val="tx1"/>
                  </w14:solidFill>
                </w14:textFill>
              </w:rPr>
              <w:t>总磷</w:t>
            </w:r>
          </w:p>
        </w:tc>
        <w:tc>
          <w:tcPr>
            <w:tcW w:w="1051" w:type="dxa"/>
            <w:vAlign w:val="center"/>
          </w:tcPr>
          <w:p w14:paraId="455E354B">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b/>
                <w:color w:val="000000" w:themeColor="text1"/>
                <w:szCs w:val="24"/>
                <w14:textFill>
                  <w14:solidFill>
                    <w14:schemeClr w14:val="tx1"/>
                  </w14:solidFill>
                </w14:textFill>
              </w:rPr>
            </w:pPr>
            <w:r>
              <w:rPr>
                <w:rFonts w:hint="default" w:ascii="Times New Roman" w:hAnsi="Times New Roman" w:eastAsia="仿宋" w:cs="Times New Roman"/>
                <w:b/>
                <w:color w:val="000000" w:themeColor="text1"/>
                <w:szCs w:val="24"/>
                <w:highlight w:val="none"/>
                <w14:textFill>
                  <w14:solidFill>
                    <w14:schemeClr w14:val="tx1"/>
                  </w14:solidFill>
                </w14:textFill>
              </w:rPr>
              <w:t>总氮</w:t>
            </w:r>
          </w:p>
        </w:tc>
      </w:tr>
      <w:tr w14:paraId="07C81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714" w:type="dxa"/>
            <w:vAlign w:val="center"/>
          </w:tcPr>
          <w:p w14:paraId="0CE6897B">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color w:val="000000" w:themeColor="text1"/>
                <w:szCs w:val="24"/>
                <w14:textFill>
                  <w14:solidFill>
                    <w14:schemeClr w14:val="tx1"/>
                  </w14:solidFill>
                </w14:textFill>
              </w:rPr>
            </w:pPr>
            <w:r>
              <w:rPr>
                <w:rFonts w:hint="default" w:ascii="Times New Roman" w:hAnsi="Times New Roman" w:eastAsia="仿宋" w:cs="Times New Roman"/>
                <w:color w:val="000000" w:themeColor="text1"/>
                <w:szCs w:val="24"/>
                <w14:textFill>
                  <w14:solidFill>
                    <w14:schemeClr w14:val="tx1"/>
                  </w14:solidFill>
                </w14:textFill>
              </w:rPr>
              <w:t>接管要求</w:t>
            </w:r>
          </w:p>
        </w:tc>
        <w:tc>
          <w:tcPr>
            <w:tcW w:w="960" w:type="dxa"/>
            <w:vAlign w:val="center"/>
          </w:tcPr>
          <w:p w14:paraId="5B1B2DEE">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color w:val="000000" w:themeColor="text1"/>
                <w:szCs w:val="24"/>
                <w14:textFill>
                  <w14:solidFill>
                    <w14:schemeClr w14:val="tx1"/>
                  </w14:solidFill>
                </w14:textFill>
              </w:rPr>
            </w:pPr>
            <w:r>
              <w:rPr>
                <w:rFonts w:hint="default" w:ascii="Times New Roman" w:hAnsi="Times New Roman" w:eastAsia="仿宋" w:cs="Times New Roman"/>
                <w:color w:val="000000" w:themeColor="text1"/>
                <w:szCs w:val="24"/>
                <w14:textFill>
                  <w14:solidFill>
                    <w14:schemeClr w14:val="tx1"/>
                  </w14:solidFill>
                </w14:textFill>
              </w:rPr>
              <w:t>6-9</w:t>
            </w:r>
          </w:p>
        </w:tc>
        <w:tc>
          <w:tcPr>
            <w:tcW w:w="1212" w:type="dxa"/>
            <w:vAlign w:val="center"/>
          </w:tcPr>
          <w:p w14:paraId="19893931">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color w:val="000000" w:themeColor="text1"/>
                <w:szCs w:val="24"/>
                <w14:textFill>
                  <w14:solidFill>
                    <w14:schemeClr w14:val="tx1"/>
                  </w14:solidFill>
                </w14:textFill>
              </w:rPr>
            </w:pPr>
            <w:r>
              <w:rPr>
                <w:rFonts w:hint="default" w:ascii="Times New Roman" w:hAnsi="Times New Roman" w:eastAsia="仿宋" w:cs="Times New Roman"/>
                <w:color w:val="000000" w:themeColor="text1"/>
                <w:szCs w:val="24"/>
                <w14:textFill>
                  <w14:solidFill>
                    <w14:schemeClr w14:val="tx1"/>
                  </w14:solidFill>
                </w14:textFill>
              </w:rPr>
              <w:t>500</w:t>
            </w:r>
          </w:p>
        </w:tc>
        <w:tc>
          <w:tcPr>
            <w:tcW w:w="1064" w:type="dxa"/>
            <w:vAlign w:val="center"/>
          </w:tcPr>
          <w:p w14:paraId="705ABB09">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color w:val="000000" w:themeColor="text1"/>
                <w:szCs w:val="24"/>
                <w14:textFill>
                  <w14:solidFill>
                    <w14:schemeClr w14:val="tx1"/>
                  </w14:solidFill>
                </w14:textFill>
              </w:rPr>
            </w:pPr>
            <w:r>
              <w:rPr>
                <w:rFonts w:hint="default" w:ascii="Times New Roman" w:hAnsi="Times New Roman" w:eastAsia="仿宋" w:cs="Times New Roman"/>
                <w:color w:val="000000" w:themeColor="text1"/>
                <w:szCs w:val="24"/>
                <w14:textFill>
                  <w14:solidFill>
                    <w14:schemeClr w14:val="tx1"/>
                  </w14:solidFill>
                </w14:textFill>
              </w:rPr>
              <w:t>400</w:t>
            </w:r>
          </w:p>
        </w:tc>
        <w:tc>
          <w:tcPr>
            <w:tcW w:w="1301" w:type="dxa"/>
            <w:vAlign w:val="center"/>
          </w:tcPr>
          <w:p w14:paraId="1E72F401">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color w:val="000000" w:themeColor="text1"/>
                <w:szCs w:val="24"/>
                <w14:textFill>
                  <w14:solidFill>
                    <w14:schemeClr w14:val="tx1"/>
                  </w14:solidFill>
                </w14:textFill>
              </w:rPr>
            </w:pPr>
            <w:r>
              <w:rPr>
                <w:rFonts w:hint="default" w:ascii="Times New Roman" w:hAnsi="Times New Roman" w:eastAsia="仿宋" w:cs="Times New Roman"/>
                <w:color w:val="000000" w:themeColor="text1"/>
                <w:szCs w:val="24"/>
                <w14:textFill>
                  <w14:solidFill>
                    <w14:schemeClr w14:val="tx1"/>
                  </w14:solidFill>
                </w14:textFill>
              </w:rPr>
              <w:t>35</w:t>
            </w:r>
          </w:p>
        </w:tc>
        <w:tc>
          <w:tcPr>
            <w:tcW w:w="1219" w:type="dxa"/>
            <w:vAlign w:val="center"/>
          </w:tcPr>
          <w:p w14:paraId="6AA6D387">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color w:val="000000" w:themeColor="text1"/>
                <w:szCs w:val="24"/>
                <w14:textFill>
                  <w14:solidFill>
                    <w14:schemeClr w14:val="tx1"/>
                  </w14:solidFill>
                </w14:textFill>
              </w:rPr>
            </w:pPr>
            <w:r>
              <w:rPr>
                <w:rFonts w:hint="default" w:ascii="Times New Roman" w:hAnsi="Times New Roman" w:eastAsia="仿宋" w:cs="Times New Roman"/>
                <w:color w:val="000000" w:themeColor="text1"/>
                <w:szCs w:val="24"/>
                <w14:textFill>
                  <w14:solidFill>
                    <w14:schemeClr w14:val="tx1"/>
                  </w14:solidFill>
                </w14:textFill>
              </w:rPr>
              <w:t>8</w:t>
            </w:r>
          </w:p>
        </w:tc>
        <w:tc>
          <w:tcPr>
            <w:tcW w:w="1051" w:type="dxa"/>
            <w:vAlign w:val="center"/>
          </w:tcPr>
          <w:p w14:paraId="5128855A">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color w:val="000000" w:themeColor="text1"/>
                <w:szCs w:val="24"/>
                <w14:textFill>
                  <w14:solidFill>
                    <w14:schemeClr w14:val="tx1"/>
                  </w14:solidFill>
                </w14:textFill>
              </w:rPr>
            </w:pPr>
            <w:r>
              <w:rPr>
                <w:rFonts w:hint="default" w:ascii="Times New Roman" w:hAnsi="Times New Roman" w:eastAsia="仿宋" w:cs="Times New Roman"/>
                <w:color w:val="000000" w:themeColor="text1"/>
                <w:szCs w:val="24"/>
                <w14:textFill>
                  <w14:solidFill>
                    <w14:schemeClr w14:val="tx1"/>
                  </w14:solidFill>
                </w14:textFill>
              </w:rPr>
              <w:t>45</w:t>
            </w:r>
          </w:p>
        </w:tc>
      </w:tr>
      <w:tr w14:paraId="4A49F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714" w:type="dxa"/>
            <w:vAlign w:val="center"/>
          </w:tcPr>
          <w:p w14:paraId="0C40AF03">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b/>
                <w:color w:val="000000" w:themeColor="text1"/>
                <w:szCs w:val="24"/>
                <w14:textFill>
                  <w14:solidFill>
                    <w14:schemeClr w14:val="tx1"/>
                  </w14:solidFill>
                </w14:textFill>
              </w:rPr>
            </w:pPr>
            <w:r>
              <w:rPr>
                <w:rFonts w:hint="default" w:ascii="Times New Roman" w:hAnsi="Times New Roman" w:eastAsia="仿宋" w:cs="Times New Roman"/>
                <w:b/>
                <w:color w:val="000000" w:themeColor="text1"/>
                <w:szCs w:val="24"/>
                <w14:textFill>
                  <w14:solidFill>
                    <w14:schemeClr w14:val="tx1"/>
                  </w14:solidFill>
                </w14:textFill>
              </w:rPr>
              <w:t>污染物名称</w:t>
            </w:r>
          </w:p>
        </w:tc>
        <w:tc>
          <w:tcPr>
            <w:tcW w:w="960" w:type="dxa"/>
            <w:vAlign w:val="center"/>
          </w:tcPr>
          <w:p w14:paraId="0F73D559">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b/>
                <w:color w:val="000000" w:themeColor="text1"/>
                <w:szCs w:val="24"/>
                <w:highlight w:val="none"/>
                <w14:textFill>
                  <w14:solidFill>
                    <w14:schemeClr w14:val="tx1"/>
                  </w14:solidFill>
                </w14:textFill>
              </w:rPr>
            </w:pPr>
            <w:r>
              <w:rPr>
                <w:rFonts w:hint="default" w:ascii="Times New Roman" w:hAnsi="Times New Roman" w:eastAsia="仿宋" w:cs="Times New Roman"/>
                <w:b/>
                <w:color w:val="000000" w:themeColor="text1"/>
                <w:szCs w:val="24"/>
                <w:highlight w:val="none"/>
                <w14:textFill>
                  <w14:solidFill>
                    <w14:schemeClr w14:val="tx1"/>
                  </w14:solidFill>
                </w14:textFill>
              </w:rPr>
              <w:t>石油类</w:t>
            </w:r>
          </w:p>
        </w:tc>
        <w:tc>
          <w:tcPr>
            <w:tcW w:w="1212" w:type="dxa"/>
            <w:vAlign w:val="center"/>
          </w:tcPr>
          <w:p w14:paraId="5FA5667F">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b/>
                <w:color w:val="000000" w:themeColor="text1"/>
                <w:szCs w:val="24"/>
                <w:highlight w:val="none"/>
                <w14:textFill>
                  <w14:solidFill>
                    <w14:schemeClr w14:val="tx1"/>
                  </w14:solidFill>
                </w14:textFill>
              </w:rPr>
            </w:pPr>
            <w:r>
              <w:rPr>
                <w:rFonts w:hint="default" w:ascii="Times New Roman" w:hAnsi="Times New Roman" w:eastAsia="仿宋" w:cs="Times New Roman"/>
                <w:b/>
                <w:color w:val="000000" w:themeColor="text1"/>
                <w:szCs w:val="24"/>
                <w:highlight w:val="none"/>
                <w14:textFill>
                  <w14:solidFill>
                    <w14:schemeClr w14:val="tx1"/>
                  </w14:solidFill>
                </w14:textFill>
              </w:rPr>
              <w:t>动植物油</w:t>
            </w:r>
          </w:p>
        </w:tc>
        <w:tc>
          <w:tcPr>
            <w:tcW w:w="1064" w:type="dxa"/>
            <w:vAlign w:val="center"/>
          </w:tcPr>
          <w:p w14:paraId="3714D752">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b/>
                <w:color w:val="000000" w:themeColor="text1"/>
                <w:szCs w:val="24"/>
                <w:highlight w:val="none"/>
                <w14:textFill>
                  <w14:solidFill>
                    <w14:schemeClr w14:val="tx1"/>
                  </w14:solidFill>
                </w14:textFill>
              </w:rPr>
            </w:pPr>
            <w:r>
              <w:rPr>
                <w:rFonts w:hint="default" w:ascii="Times New Roman" w:hAnsi="Times New Roman" w:eastAsia="仿宋" w:cs="Times New Roman"/>
                <w:b/>
                <w:color w:val="000000" w:themeColor="text1"/>
                <w:szCs w:val="24"/>
                <w:highlight w:val="none"/>
                <w14:textFill>
                  <w14:solidFill>
                    <w14:schemeClr w14:val="tx1"/>
                  </w14:solidFill>
                </w14:textFill>
              </w:rPr>
              <w:t>BOD</w:t>
            </w:r>
            <w:r>
              <w:rPr>
                <w:rFonts w:hint="default" w:ascii="Times New Roman" w:hAnsi="Times New Roman" w:eastAsia="仿宋" w:cs="Times New Roman"/>
                <w:b/>
                <w:color w:val="000000" w:themeColor="text1"/>
                <w:szCs w:val="24"/>
                <w:highlight w:val="none"/>
                <w:vertAlign w:val="subscript"/>
                <w14:textFill>
                  <w14:solidFill>
                    <w14:schemeClr w14:val="tx1"/>
                  </w14:solidFill>
                </w14:textFill>
              </w:rPr>
              <w:t>5</w:t>
            </w:r>
          </w:p>
        </w:tc>
        <w:tc>
          <w:tcPr>
            <w:tcW w:w="1301" w:type="dxa"/>
            <w:vAlign w:val="center"/>
          </w:tcPr>
          <w:p w14:paraId="52AA8062">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仿宋" w:cs="Times New Roman"/>
                <w:b/>
                <w:color w:val="000000" w:themeColor="text1"/>
                <w:szCs w:val="24"/>
                <w:highlight w:val="none"/>
                <w:lang w:eastAsia="zh-CN"/>
                <w14:textFill>
                  <w14:solidFill>
                    <w14:schemeClr w14:val="tx1"/>
                  </w14:solidFill>
                </w14:textFill>
              </w:rPr>
            </w:pPr>
            <w:r>
              <w:rPr>
                <w:rFonts w:hint="eastAsia" w:ascii="Times New Roman" w:eastAsia="仿宋" w:cs="Times New Roman"/>
                <w:b/>
                <w:color w:val="000000" w:themeColor="text1"/>
                <w:szCs w:val="24"/>
                <w:highlight w:val="none"/>
                <w:lang w:eastAsia="zh-CN"/>
                <w14:textFill>
                  <w14:solidFill>
                    <w14:schemeClr w14:val="tx1"/>
                  </w14:solidFill>
                </w14:textFill>
              </w:rPr>
              <w:t>*</w:t>
            </w:r>
          </w:p>
        </w:tc>
        <w:tc>
          <w:tcPr>
            <w:tcW w:w="1219" w:type="dxa"/>
            <w:vAlign w:val="center"/>
          </w:tcPr>
          <w:p w14:paraId="2A7EB99B">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b/>
                <w:color w:val="000000" w:themeColor="text1"/>
                <w:szCs w:val="24"/>
                <w:highlight w:val="none"/>
                <w14:textFill>
                  <w14:solidFill>
                    <w14:schemeClr w14:val="tx1"/>
                  </w14:solidFill>
                </w14:textFill>
              </w:rPr>
            </w:pPr>
            <w:r>
              <w:rPr>
                <w:rFonts w:hint="default" w:ascii="Times New Roman" w:hAnsi="Times New Roman" w:eastAsia="仿宋" w:cs="Times New Roman"/>
                <w:b/>
                <w:color w:val="000000" w:themeColor="text1"/>
                <w:szCs w:val="24"/>
                <w:highlight w:val="none"/>
                <w:lang w:val="en-US" w:eastAsia="zh-CN"/>
                <w14:textFill>
                  <w14:solidFill>
                    <w14:schemeClr w14:val="tx1"/>
                  </w14:solidFill>
                </w14:textFill>
              </w:rPr>
              <w:t>可吸附有机卤素</w:t>
            </w:r>
          </w:p>
        </w:tc>
        <w:tc>
          <w:tcPr>
            <w:tcW w:w="1051" w:type="dxa"/>
            <w:vAlign w:val="center"/>
          </w:tcPr>
          <w:p w14:paraId="3943A44C">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b/>
                <w:color w:val="000000" w:themeColor="text1"/>
                <w:szCs w:val="24"/>
                <w14:textFill>
                  <w14:solidFill>
                    <w14:schemeClr w14:val="tx1"/>
                  </w14:solidFill>
                </w14:textFill>
              </w:rPr>
            </w:pPr>
          </w:p>
        </w:tc>
      </w:tr>
      <w:tr w14:paraId="331BC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714" w:type="dxa"/>
            <w:vAlign w:val="center"/>
          </w:tcPr>
          <w:p w14:paraId="1A78FD58">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color w:val="000000" w:themeColor="text1"/>
                <w:szCs w:val="24"/>
                <w14:textFill>
                  <w14:solidFill>
                    <w14:schemeClr w14:val="tx1"/>
                  </w14:solidFill>
                </w14:textFill>
              </w:rPr>
            </w:pPr>
            <w:r>
              <w:rPr>
                <w:rFonts w:hint="default" w:ascii="Times New Roman" w:hAnsi="Times New Roman" w:eastAsia="仿宋" w:cs="Times New Roman"/>
                <w:color w:val="000000" w:themeColor="text1"/>
                <w:szCs w:val="24"/>
                <w14:textFill>
                  <w14:solidFill>
                    <w14:schemeClr w14:val="tx1"/>
                  </w14:solidFill>
                </w14:textFill>
              </w:rPr>
              <w:t>接管要求</w:t>
            </w:r>
          </w:p>
        </w:tc>
        <w:tc>
          <w:tcPr>
            <w:tcW w:w="960" w:type="dxa"/>
            <w:vAlign w:val="center"/>
          </w:tcPr>
          <w:p w14:paraId="601B9098">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color w:val="000000" w:themeColor="text1"/>
                <w:szCs w:val="24"/>
                <w:lang w:val="en-US" w:eastAsia="zh-CN"/>
                <w14:textFill>
                  <w14:solidFill>
                    <w14:schemeClr w14:val="tx1"/>
                  </w14:solidFill>
                </w14:textFill>
              </w:rPr>
            </w:pPr>
            <w:r>
              <w:rPr>
                <w:rFonts w:hint="default" w:ascii="Times New Roman" w:hAnsi="Times New Roman" w:eastAsia="仿宋" w:cs="Times New Roman"/>
                <w:color w:val="000000" w:themeColor="text1"/>
                <w:szCs w:val="24"/>
                <w:lang w:val="en-US" w:eastAsia="zh-CN"/>
                <w14:textFill>
                  <w14:solidFill>
                    <w14:schemeClr w14:val="tx1"/>
                  </w14:solidFill>
                </w14:textFill>
              </w:rPr>
              <w:t>20</w:t>
            </w:r>
          </w:p>
        </w:tc>
        <w:tc>
          <w:tcPr>
            <w:tcW w:w="1212" w:type="dxa"/>
            <w:vAlign w:val="center"/>
          </w:tcPr>
          <w:p w14:paraId="4F582ACC">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color w:val="000000" w:themeColor="text1"/>
                <w:szCs w:val="24"/>
                <w14:textFill>
                  <w14:solidFill>
                    <w14:schemeClr w14:val="tx1"/>
                  </w14:solidFill>
                </w14:textFill>
              </w:rPr>
            </w:pPr>
            <w:r>
              <w:rPr>
                <w:rFonts w:hint="default" w:ascii="Times New Roman" w:hAnsi="Times New Roman" w:eastAsia="仿宋" w:cs="Times New Roman"/>
                <w:color w:val="000000" w:themeColor="text1"/>
                <w:szCs w:val="24"/>
                <w14:textFill>
                  <w14:solidFill>
                    <w14:schemeClr w14:val="tx1"/>
                  </w14:solidFill>
                </w14:textFill>
              </w:rPr>
              <w:t>100</w:t>
            </w:r>
          </w:p>
        </w:tc>
        <w:tc>
          <w:tcPr>
            <w:tcW w:w="1064" w:type="dxa"/>
            <w:vAlign w:val="center"/>
          </w:tcPr>
          <w:p w14:paraId="7E933EF6">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color w:val="000000" w:themeColor="text1"/>
                <w:szCs w:val="24"/>
                <w14:textFill>
                  <w14:solidFill>
                    <w14:schemeClr w14:val="tx1"/>
                  </w14:solidFill>
                </w14:textFill>
              </w:rPr>
            </w:pPr>
            <w:r>
              <w:rPr>
                <w:rFonts w:hint="default" w:ascii="Times New Roman" w:hAnsi="Times New Roman" w:eastAsia="仿宋" w:cs="Times New Roman"/>
                <w:color w:val="000000" w:themeColor="text1"/>
                <w:szCs w:val="24"/>
                <w14:textFill>
                  <w14:solidFill>
                    <w14:schemeClr w14:val="tx1"/>
                  </w14:solidFill>
                </w14:textFill>
              </w:rPr>
              <w:t>300</w:t>
            </w:r>
          </w:p>
        </w:tc>
        <w:tc>
          <w:tcPr>
            <w:tcW w:w="1301" w:type="dxa"/>
            <w:vAlign w:val="center"/>
          </w:tcPr>
          <w:p w14:paraId="66C43956">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color w:val="000000" w:themeColor="text1"/>
                <w:szCs w:val="24"/>
                <w14:textFill>
                  <w14:solidFill>
                    <w14:schemeClr w14:val="tx1"/>
                  </w14:solidFill>
                </w14:textFill>
              </w:rPr>
            </w:pPr>
            <w:r>
              <w:rPr>
                <w:rFonts w:hint="default" w:ascii="Times New Roman" w:hAnsi="Times New Roman" w:eastAsia="仿宋" w:cs="Times New Roman"/>
                <w:color w:val="000000" w:themeColor="text1"/>
                <w:szCs w:val="24"/>
                <w14:textFill>
                  <w14:solidFill>
                    <w14:schemeClr w14:val="tx1"/>
                  </w14:solidFill>
                </w14:textFill>
              </w:rPr>
              <w:t>0.1</w:t>
            </w:r>
          </w:p>
        </w:tc>
        <w:tc>
          <w:tcPr>
            <w:tcW w:w="1219" w:type="dxa"/>
            <w:vAlign w:val="center"/>
          </w:tcPr>
          <w:p w14:paraId="672F4D15">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color w:val="000000" w:themeColor="text1"/>
                <w:szCs w:val="24"/>
                <w:lang w:val="en-US" w:eastAsia="zh-CN"/>
                <w14:textFill>
                  <w14:solidFill>
                    <w14:schemeClr w14:val="tx1"/>
                  </w14:solidFill>
                </w14:textFill>
              </w:rPr>
            </w:pPr>
            <w:r>
              <w:rPr>
                <w:rFonts w:hint="default" w:ascii="Times New Roman" w:hAnsi="Times New Roman" w:eastAsia="仿宋" w:cs="Times New Roman"/>
                <w:color w:val="000000" w:themeColor="text1"/>
                <w:szCs w:val="24"/>
                <w:lang w:val="en-US" w:eastAsia="zh-CN"/>
                <w14:textFill>
                  <w14:solidFill>
                    <w14:schemeClr w14:val="tx1"/>
                  </w14:solidFill>
                </w14:textFill>
              </w:rPr>
              <w:t>1000</w:t>
            </w:r>
          </w:p>
        </w:tc>
        <w:tc>
          <w:tcPr>
            <w:tcW w:w="1051" w:type="dxa"/>
            <w:vAlign w:val="center"/>
          </w:tcPr>
          <w:p w14:paraId="116ED029">
            <w:pPr>
              <w:pStyle w:val="2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color w:val="000000" w:themeColor="text1"/>
                <w:szCs w:val="24"/>
                <w14:textFill>
                  <w14:solidFill>
                    <w14:schemeClr w14:val="tx1"/>
                  </w14:solidFill>
                </w14:textFill>
              </w:rPr>
            </w:pPr>
          </w:p>
        </w:tc>
      </w:tr>
    </w:tbl>
    <w:p w14:paraId="0E69B310">
      <w:pPr>
        <w:spacing w:line="240" w:lineRule="auto"/>
        <w:ind w:firstLine="0" w:firstLineChars="0"/>
        <w:jc w:val="right"/>
        <w:rPr>
          <w:rFonts w:hint="default" w:ascii="Times New Roman" w:hAnsi="Times New Roman" w:eastAsia="仿宋" w:cs="Times New Roman"/>
          <w:bCs/>
          <w:color w:val="000000" w:themeColor="text1"/>
          <w:sz w:val="21"/>
          <w:szCs w:val="21"/>
          <w14:textFill>
            <w14:solidFill>
              <w14:schemeClr w14:val="tx1"/>
            </w14:solidFill>
          </w14:textFill>
        </w:rPr>
      </w:pPr>
    </w:p>
    <w:p w14:paraId="1C4268B8">
      <w:pPr>
        <w:pStyle w:val="3"/>
        <w:spacing w:before="120" w:after="120"/>
        <w:ind w:firstLine="0" w:firstLineChars="0"/>
        <w:rPr>
          <w:rFonts w:hint="default" w:ascii="Times New Roman" w:hAnsi="Times New Roman" w:cs="Times New Roman"/>
          <w:color w:val="000000"/>
        </w:rPr>
      </w:pPr>
      <w:bookmarkStart w:id="85" w:name="_Toc28028"/>
      <w:bookmarkStart w:id="86" w:name="_Toc19263"/>
      <w:r>
        <w:rPr>
          <w:rFonts w:hint="default" w:ascii="Times New Roman" w:hAnsi="Times New Roman" w:cs="Times New Roman"/>
          <w:color w:val="000000"/>
        </w:rPr>
        <w:t>6.2 废气</w:t>
      </w:r>
      <w:bookmarkEnd w:id="85"/>
      <w:bookmarkEnd w:id="86"/>
    </w:p>
    <w:p w14:paraId="7E6B5444">
      <w:pPr>
        <w:pStyle w:val="10"/>
        <w:spacing w:after="0" w:line="600" w:lineRule="exact"/>
        <w:ind w:firstLine="560" w:firstLineChars="200"/>
        <w:rPr>
          <w:rFonts w:hint="default" w:ascii="Times New Roman" w:hAnsi="Times New Roman" w:eastAsia="仿宋" w:cs="Times New Roman"/>
          <w:snapToGrid w:val="0"/>
          <w:kern w:val="0"/>
          <w:sz w:val="28"/>
          <w:szCs w:val="28"/>
        </w:rPr>
      </w:pPr>
      <w:r>
        <w:rPr>
          <w:rFonts w:hint="default" w:ascii="Times New Roman" w:hAnsi="Times New Roman" w:eastAsia="仿宋" w:cs="Times New Roman"/>
          <w:snapToGrid w:val="0"/>
          <w:kern w:val="0"/>
          <w:sz w:val="28"/>
          <w:szCs w:val="28"/>
        </w:rPr>
        <w:t>项目工艺废气主要为油雾、非甲烷总烃、</w:t>
      </w:r>
      <w:r>
        <w:rPr>
          <w:rFonts w:hint="eastAsia" w:ascii="Times New Roman" w:hAnsi="Times New Roman" w:eastAsia="仿宋" w:cs="Times New Roman"/>
          <w:snapToGrid w:val="0"/>
          <w:kern w:val="0"/>
          <w:sz w:val="28"/>
          <w:szCs w:val="28"/>
          <w:lang w:eastAsia="zh-CN"/>
        </w:rPr>
        <w:t>*</w:t>
      </w:r>
      <w:r>
        <w:rPr>
          <w:rFonts w:hint="default" w:ascii="Times New Roman" w:hAnsi="Times New Roman" w:eastAsia="仿宋" w:cs="Times New Roman"/>
          <w:snapToGrid w:val="0"/>
          <w:kern w:val="0"/>
          <w:sz w:val="28"/>
          <w:szCs w:val="28"/>
        </w:rPr>
        <w:t>，以及臭气浓度；</w:t>
      </w:r>
      <w:r>
        <w:rPr>
          <w:rFonts w:hint="default" w:ascii="Times New Roman" w:hAnsi="Times New Roman" w:eastAsia="仿宋" w:cs="Times New Roman"/>
          <w:snapToGrid w:val="0"/>
          <w:kern w:val="0"/>
          <w:sz w:val="28"/>
          <w:szCs w:val="28"/>
          <w:lang w:val="en-US" w:eastAsia="zh-CN"/>
        </w:rPr>
        <w:t>其</w:t>
      </w:r>
      <w:r>
        <w:rPr>
          <w:rFonts w:hint="default" w:ascii="Times New Roman" w:hAnsi="Times New Roman" w:eastAsia="仿宋" w:cs="Times New Roman"/>
          <w:snapToGrid w:val="0"/>
          <w:kern w:val="0"/>
          <w:sz w:val="28"/>
          <w:szCs w:val="28"/>
        </w:rPr>
        <w:t>中非甲烷总烃、</w:t>
      </w:r>
      <w:r>
        <w:rPr>
          <w:rFonts w:hint="eastAsia" w:ascii="Times New Roman" w:hAnsi="Times New Roman" w:eastAsia="仿宋" w:cs="Times New Roman"/>
          <w:snapToGrid w:val="0"/>
          <w:kern w:val="0"/>
          <w:sz w:val="28"/>
          <w:szCs w:val="28"/>
          <w:lang w:eastAsia="zh-CN"/>
        </w:rPr>
        <w:t>*</w:t>
      </w:r>
      <w:r>
        <w:rPr>
          <w:rFonts w:hint="default" w:ascii="Times New Roman" w:hAnsi="Times New Roman" w:eastAsia="仿宋" w:cs="Times New Roman"/>
          <w:snapToGrid w:val="0"/>
          <w:kern w:val="0"/>
          <w:sz w:val="28"/>
          <w:szCs w:val="28"/>
        </w:rPr>
        <w:t>排放标准执行江苏省地方标准《</w:t>
      </w:r>
      <w:bookmarkStart w:id="87" w:name="OLE_LINK17"/>
      <w:r>
        <w:rPr>
          <w:rFonts w:hint="default" w:ascii="Times New Roman" w:hAnsi="Times New Roman" w:eastAsia="仿宋" w:cs="Times New Roman"/>
          <w:snapToGrid w:val="0"/>
          <w:kern w:val="0"/>
          <w:sz w:val="28"/>
          <w:szCs w:val="28"/>
        </w:rPr>
        <w:t>大气污染物综合排放标准》(DB32/4041-2021)</w:t>
      </w:r>
      <w:bookmarkEnd w:id="87"/>
      <w:r>
        <w:rPr>
          <w:rFonts w:hint="default" w:ascii="Times New Roman" w:hAnsi="Times New Roman" w:eastAsia="仿宋" w:cs="Times New Roman"/>
          <w:snapToGrid w:val="0"/>
          <w:kern w:val="0"/>
          <w:sz w:val="28"/>
          <w:szCs w:val="28"/>
        </w:rPr>
        <w:t>中的标准限值，</w:t>
      </w:r>
      <w:bookmarkStart w:id="88" w:name="OLE_LINK8"/>
      <w:r>
        <w:rPr>
          <w:rFonts w:hint="default" w:ascii="Times New Roman" w:hAnsi="Times New Roman" w:eastAsia="仿宋" w:cs="Times New Roman"/>
          <w:snapToGrid w:val="0"/>
          <w:kern w:val="0"/>
          <w:sz w:val="28"/>
          <w:szCs w:val="28"/>
        </w:rPr>
        <w:t>氨、</w:t>
      </w:r>
      <w:r>
        <w:rPr>
          <w:rFonts w:hint="default" w:ascii="Times New Roman" w:hAnsi="Times New Roman" w:eastAsia="仿宋" w:cs="Times New Roman"/>
          <w:snapToGrid w:val="0"/>
          <w:kern w:val="0"/>
          <w:sz w:val="28"/>
          <w:szCs w:val="28"/>
          <w:lang w:val="en-US" w:eastAsia="zh-CN"/>
        </w:rPr>
        <w:t>硫</w:t>
      </w:r>
      <w:r>
        <w:rPr>
          <w:rFonts w:hint="default" w:ascii="Times New Roman" w:hAnsi="Times New Roman" w:eastAsia="仿宋" w:cs="Times New Roman"/>
          <w:snapToGrid w:val="0"/>
          <w:kern w:val="0"/>
          <w:sz w:val="28"/>
          <w:szCs w:val="28"/>
        </w:rPr>
        <w:t>化氢、臭气浓度执行</w:t>
      </w:r>
      <w:bookmarkStart w:id="89" w:name="OLE_LINK18"/>
      <w:r>
        <w:rPr>
          <w:rFonts w:hint="default" w:ascii="Times New Roman" w:hAnsi="Times New Roman" w:eastAsia="仿宋" w:cs="Times New Roman"/>
          <w:snapToGrid w:val="0"/>
          <w:kern w:val="0"/>
          <w:sz w:val="28"/>
          <w:szCs w:val="28"/>
        </w:rPr>
        <w:t>《恶臭污染物排放标准》(GB14554-93)</w:t>
      </w:r>
      <w:bookmarkEnd w:id="88"/>
      <w:bookmarkEnd w:id="89"/>
      <w:r>
        <w:rPr>
          <w:rFonts w:hint="default" w:ascii="Times New Roman" w:hAnsi="Times New Roman" w:eastAsia="仿宋" w:cs="Times New Roman"/>
          <w:snapToGrid w:val="0"/>
          <w:kern w:val="0"/>
          <w:sz w:val="28"/>
          <w:szCs w:val="28"/>
        </w:rPr>
        <w:t>，油雾参照</w:t>
      </w:r>
      <w:bookmarkStart w:id="90" w:name="OLE_LINK19"/>
      <w:r>
        <w:rPr>
          <w:rFonts w:hint="default" w:ascii="Times New Roman" w:hAnsi="Times New Roman" w:eastAsia="仿宋" w:cs="Times New Roman"/>
          <w:snapToGrid w:val="0"/>
          <w:kern w:val="0"/>
          <w:sz w:val="28"/>
          <w:szCs w:val="28"/>
        </w:rPr>
        <w:t>《上海市大气污染物综合排放标准》(DB311933-2015)</w:t>
      </w:r>
      <w:bookmarkEnd w:id="90"/>
      <w:r>
        <w:rPr>
          <w:rFonts w:hint="default" w:ascii="Times New Roman" w:hAnsi="Times New Roman" w:eastAsia="仿宋" w:cs="Times New Roman"/>
          <w:snapToGrid w:val="0"/>
          <w:kern w:val="0"/>
          <w:sz w:val="28"/>
          <w:szCs w:val="28"/>
        </w:rPr>
        <w:t>表1中排放标准限制。具体排放标准限值见表 6.2-1。</w:t>
      </w:r>
    </w:p>
    <w:p w14:paraId="7DE6E6D1">
      <w:pPr>
        <w:pStyle w:val="10"/>
        <w:spacing w:after="0" w:line="600" w:lineRule="exact"/>
        <w:ind w:firstLine="560" w:firstLineChars="200"/>
        <w:rPr>
          <w:rFonts w:hint="default" w:ascii="Times New Roman" w:hAnsi="Times New Roman" w:eastAsia="仿宋" w:cs="Times New Roman"/>
          <w:snapToGrid w:val="0"/>
          <w:kern w:val="0"/>
          <w:sz w:val="28"/>
          <w:szCs w:val="28"/>
        </w:rPr>
      </w:pPr>
      <w:r>
        <w:rPr>
          <w:rFonts w:hint="eastAsia" w:ascii="Times New Roman" w:hAnsi="Times New Roman" w:eastAsia="仿宋" w:cs="Times New Roman"/>
          <w:snapToGrid w:val="0"/>
          <w:kern w:val="0"/>
          <w:sz w:val="28"/>
          <w:szCs w:val="28"/>
          <w:lang w:val="en-US" w:eastAsia="zh-CN"/>
        </w:rPr>
        <w:t>车间五外</w:t>
      </w:r>
      <w:r>
        <w:rPr>
          <w:rFonts w:hint="default" w:ascii="Times New Roman" w:hAnsi="Times New Roman" w:eastAsia="仿宋" w:cs="Times New Roman"/>
          <w:snapToGrid w:val="0"/>
          <w:kern w:val="0"/>
          <w:sz w:val="28"/>
          <w:szCs w:val="28"/>
        </w:rPr>
        <w:t>VOCs无组织排放监控点排放浓度执行《挥发性有机物无组织排放控制标准》（GB37822-2019）表 A.1 规定的限值，具体排放标准限值见表6.2-2。</w:t>
      </w:r>
    </w:p>
    <w:p w14:paraId="1A025D32">
      <w:pPr>
        <w:bidi w:val="0"/>
        <w:jc w:val="center"/>
        <w:rPr>
          <w:rFonts w:hint="default" w:ascii="Times New Roman" w:hAnsi="Times New Roman" w:eastAsia="仿宋" w:cs="Times New Roman"/>
          <w:b/>
          <w:bCs/>
        </w:rPr>
      </w:pPr>
      <w:r>
        <w:rPr>
          <w:rFonts w:hint="default" w:ascii="Times New Roman" w:hAnsi="Times New Roman" w:eastAsia="仿宋" w:cs="Times New Roman"/>
          <w:b/>
          <w:bCs/>
        </w:rPr>
        <w:t>表</w:t>
      </w:r>
      <w:r>
        <w:rPr>
          <w:rFonts w:hint="default" w:ascii="Times New Roman" w:hAnsi="Times New Roman" w:eastAsia="仿宋" w:cs="Times New Roman"/>
          <w:b/>
          <w:bCs/>
          <w:spacing w:val="-63"/>
        </w:rPr>
        <w:t xml:space="preserve"> </w:t>
      </w:r>
      <w:r>
        <w:rPr>
          <w:rFonts w:hint="default" w:ascii="Times New Roman" w:hAnsi="Times New Roman" w:eastAsia="仿宋" w:cs="Times New Roman"/>
          <w:b/>
          <w:bCs/>
        </w:rPr>
        <w:t>6.2-1</w:t>
      </w:r>
      <w:r>
        <w:rPr>
          <w:rFonts w:hint="default" w:ascii="Times New Roman" w:hAnsi="Times New Roman" w:eastAsia="仿宋" w:cs="Times New Roman"/>
          <w:b/>
          <w:bCs/>
        </w:rPr>
        <w:tab/>
      </w:r>
      <w:r>
        <w:rPr>
          <w:rFonts w:hint="default" w:ascii="Times New Roman" w:hAnsi="Times New Roman" w:eastAsia="仿宋" w:cs="Times New Roman"/>
          <w:b/>
          <w:bCs/>
        </w:rPr>
        <w:t>大气污染物综合排放标准</w:t>
      </w:r>
    </w:p>
    <w:tbl>
      <w:tblPr>
        <w:tblStyle w:val="25"/>
        <w:tblW w:w="8522" w:type="dxa"/>
        <w:tblInd w:w="1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01"/>
        <w:gridCol w:w="1590"/>
        <w:gridCol w:w="1174"/>
        <w:gridCol w:w="1658"/>
        <w:gridCol w:w="2599"/>
      </w:tblGrid>
      <w:tr w14:paraId="006C6DB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trPr>
        <w:tc>
          <w:tcPr>
            <w:tcW w:w="1501" w:type="dxa"/>
            <w:tcBorders>
              <w:left w:val="nil"/>
              <w:bottom w:val="single" w:color="000000" w:sz="4" w:space="0"/>
              <w:right w:val="single" w:color="000000" w:sz="4" w:space="0"/>
            </w:tcBorders>
            <w:vAlign w:val="center"/>
          </w:tcPr>
          <w:p w14:paraId="37B37BAC">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污染物</w:t>
            </w:r>
          </w:p>
        </w:tc>
        <w:tc>
          <w:tcPr>
            <w:tcW w:w="1590" w:type="dxa"/>
            <w:tcBorders>
              <w:left w:val="single" w:color="000000" w:sz="4" w:space="0"/>
              <w:bottom w:val="single" w:color="000000" w:sz="4" w:space="0"/>
              <w:right w:val="single" w:color="000000" w:sz="4" w:space="0"/>
            </w:tcBorders>
            <w:vAlign w:val="center"/>
          </w:tcPr>
          <w:p w14:paraId="01F7FBF5">
            <w:pPr>
              <w:pStyle w:val="45"/>
              <w:keepNext w:val="0"/>
              <w:keepLines w:val="0"/>
              <w:pageBreakBefore w:val="0"/>
              <w:widowControl w:val="0"/>
              <w:kinsoku/>
              <w:wordWrap/>
              <w:overflowPunct/>
              <w:topLinePunct w:val="0"/>
              <w:bidi w:val="0"/>
              <w:adjustRightInd w:val="0"/>
              <w:snapToGrid/>
              <w:spacing w:before="0" w:line="278" w:lineRule="auto"/>
              <w:ind w:left="0" w:right="0" w:hanging="63"/>
              <w:textAlignment w:val="auto"/>
              <w:rPr>
                <w:rFonts w:hint="default" w:ascii="Times New Roman" w:hAnsi="Times New Roman" w:eastAsia="仿宋" w:cs="Times New Roman"/>
                <w:b/>
                <w:sz w:val="24"/>
                <w:szCs w:val="24"/>
              </w:rPr>
            </w:pPr>
            <w:r>
              <w:rPr>
                <w:rFonts w:hint="default" w:ascii="Times New Roman" w:hAnsi="Times New Roman" w:eastAsia="仿宋" w:cs="Times New Roman"/>
                <w:b/>
                <w:w w:val="95"/>
                <w:sz w:val="24"/>
                <w:szCs w:val="24"/>
              </w:rPr>
              <w:t>最高允许排放</w:t>
            </w:r>
            <w:r>
              <w:rPr>
                <w:rFonts w:hint="default" w:ascii="Times New Roman" w:hAnsi="Times New Roman" w:eastAsia="仿宋" w:cs="Times New Roman"/>
                <w:b/>
                <w:sz w:val="24"/>
                <w:szCs w:val="24"/>
              </w:rPr>
              <w:t>浓度(mg/m</w:t>
            </w:r>
            <w:r>
              <w:rPr>
                <w:rFonts w:hint="default" w:ascii="Times New Roman" w:hAnsi="Times New Roman" w:eastAsia="仿宋" w:cs="Times New Roman"/>
                <w:b/>
                <w:sz w:val="24"/>
                <w:szCs w:val="24"/>
                <w:vertAlign w:val="superscript"/>
                <w:lang w:val="en-US"/>
              </w:rPr>
              <w:t>3</w:t>
            </w:r>
            <w:r>
              <w:rPr>
                <w:rFonts w:hint="default" w:ascii="Times New Roman" w:hAnsi="Times New Roman" w:eastAsia="仿宋" w:cs="Times New Roman"/>
                <w:b/>
                <w:sz w:val="24"/>
                <w:szCs w:val="24"/>
              </w:rPr>
              <w:t>)</w:t>
            </w:r>
          </w:p>
        </w:tc>
        <w:tc>
          <w:tcPr>
            <w:tcW w:w="1174" w:type="dxa"/>
            <w:tcBorders>
              <w:left w:val="single" w:color="000000" w:sz="4" w:space="0"/>
              <w:bottom w:val="single" w:color="000000" w:sz="4" w:space="0"/>
              <w:right w:val="single" w:color="000000" w:sz="4" w:space="0"/>
            </w:tcBorders>
            <w:vAlign w:val="center"/>
          </w:tcPr>
          <w:p w14:paraId="319A5F40">
            <w:pPr>
              <w:pStyle w:val="45"/>
              <w:keepNext w:val="0"/>
              <w:keepLines w:val="0"/>
              <w:pageBreakBefore w:val="0"/>
              <w:widowControl w:val="0"/>
              <w:kinsoku/>
              <w:wordWrap/>
              <w:overflowPunct/>
              <w:topLinePunct w:val="0"/>
              <w:bidi w:val="0"/>
              <w:adjustRightInd w:val="0"/>
              <w:snapToGrid/>
              <w:spacing w:before="0" w:line="278" w:lineRule="auto"/>
              <w:ind w:left="0" w:right="0"/>
              <w:textAlignment w:val="auto"/>
              <w:rPr>
                <w:rFonts w:hint="default" w:ascii="Times New Roman" w:hAnsi="Times New Roman" w:eastAsia="仿宋" w:cs="Times New Roman"/>
                <w:b/>
                <w:sz w:val="24"/>
                <w:szCs w:val="24"/>
              </w:rPr>
            </w:pPr>
            <w:r>
              <w:rPr>
                <w:rFonts w:hint="default" w:ascii="Times New Roman" w:hAnsi="Times New Roman" w:eastAsia="仿宋" w:cs="Times New Roman"/>
                <w:b/>
                <w:w w:val="95"/>
                <w:sz w:val="24"/>
                <w:szCs w:val="24"/>
              </w:rPr>
              <w:t>最高允许排</w:t>
            </w:r>
            <w:r>
              <w:rPr>
                <w:rFonts w:hint="default" w:ascii="Times New Roman" w:hAnsi="Times New Roman" w:eastAsia="仿宋" w:cs="Times New Roman"/>
                <w:b/>
                <w:sz w:val="24"/>
                <w:szCs w:val="24"/>
              </w:rPr>
              <w:t>放速率</w:t>
            </w:r>
          </w:p>
          <w:p w14:paraId="05CB44F3">
            <w:pPr>
              <w:pStyle w:val="45"/>
              <w:keepNext w:val="0"/>
              <w:keepLines w:val="0"/>
              <w:pageBreakBefore w:val="0"/>
              <w:widowControl w:val="0"/>
              <w:kinsoku/>
              <w:wordWrap/>
              <w:overflowPunct/>
              <w:topLinePunct w:val="0"/>
              <w:bidi w:val="0"/>
              <w:adjustRightInd w:val="0"/>
              <w:snapToGrid/>
              <w:spacing w:before="0" w:line="269" w:lineRule="exact"/>
              <w:ind w:left="0" w:right="0"/>
              <w:textAlignment w:val="auto"/>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（kg/h）</w:t>
            </w:r>
          </w:p>
        </w:tc>
        <w:tc>
          <w:tcPr>
            <w:tcW w:w="1658" w:type="dxa"/>
            <w:tcBorders>
              <w:left w:val="single" w:color="000000" w:sz="4" w:space="0"/>
              <w:bottom w:val="single" w:color="000000" w:sz="4" w:space="0"/>
              <w:right w:val="single" w:color="000000" w:sz="4" w:space="0"/>
            </w:tcBorders>
            <w:vAlign w:val="center"/>
          </w:tcPr>
          <w:p w14:paraId="4C7BBC13">
            <w:pPr>
              <w:pStyle w:val="45"/>
              <w:keepNext w:val="0"/>
              <w:keepLines w:val="0"/>
              <w:pageBreakBefore w:val="0"/>
              <w:widowControl w:val="0"/>
              <w:kinsoku/>
              <w:wordWrap/>
              <w:overflowPunct/>
              <w:topLinePunct w:val="0"/>
              <w:bidi w:val="0"/>
              <w:adjustRightInd w:val="0"/>
              <w:snapToGrid/>
              <w:spacing w:before="0" w:line="278" w:lineRule="auto"/>
              <w:ind w:left="0" w:right="0"/>
              <w:textAlignment w:val="auto"/>
              <w:rPr>
                <w:rFonts w:hint="default" w:ascii="Times New Roman" w:hAnsi="Times New Roman" w:eastAsia="仿宋" w:cs="Times New Roman"/>
                <w:b/>
                <w:sz w:val="24"/>
                <w:szCs w:val="24"/>
              </w:rPr>
            </w:pPr>
            <w:r>
              <w:rPr>
                <w:rFonts w:hint="default" w:ascii="Times New Roman" w:hAnsi="Times New Roman" w:eastAsia="仿宋" w:cs="Times New Roman"/>
                <w:b/>
                <w:w w:val="95"/>
                <w:sz w:val="24"/>
                <w:szCs w:val="24"/>
              </w:rPr>
              <w:t>厂界无组织排放监控浓度限</w:t>
            </w:r>
            <w:r>
              <w:rPr>
                <w:rFonts w:hint="default" w:ascii="Times New Roman" w:hAnsi="Times New Roman" w:eastAsia="仿宋" w:cs="Times New Roman"/>
                <w:b/>
                <w:sz w:val="24"/>
                <w:szCs w:val="24"/>
              </w:rPr>
              <w:t>值(mg/m</w:t>
            </w:r>
            <w:r>
              <w:rPr>
                <w:rFonts w:hint="default" w:ascii="Times New Roman" w:hAnsi="Times New Roman" w:eastAsia="仿宋" w:cs="Times New Roman"/>
                <w:b/>
                <w:sz w:val="24"/>
                <w:szCs w:val="24"/>
                <w:vertAlign w:val="superscript"/>
                <w:lang w:val="en-US"/>
              </w:rPr>
              <w:t>3</w:t>
            </w:r>
            <w:r>
              <w:rPr>
                <w:rFonts w:hint="default" w:ascii="Times New Roman" w:hAnsi="Times New Roman" w:eastAsia="仿宋" w:cs="Times New Roman"/>
                <w:b/>
                <w:sz w:val="24"/>
                <w:szCs w:val="24"/>
              </w:rPr>
              <w:t>)</w:t>
            </w:r>
          </w:p>
        </w:tc>
        <w:tc>
          <w:tcPr>
            <w:tcW w:w="2599" w:type="dxa"/>
            <w:tcBorders>
              <w:left w:val="single" w:color="000000" w:sz="4" w:space="0"/>
              <w:bottom w:val="single" w:color="000000" w:sz="4" w:space="0"/>
              <w:right w:val="nil"/>
            </w:tcBorders>
            <w:vAlign w:val="center"/>
          </w:tcPr>
          <w:p w14:paraId="0F4BA822">
            <w:pPr>
              <w:pStyle w:val="45"/>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标准来源</w:t>
            </w:r>
          </w:p>
        </w:tc>
      </w:tr>
      <w:tr w14:paraId="6A7BC9D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501" w:type="dxa"/>
            <w:tcBorders>
              <w:top w:val="single" w:color="000000" w:sz="4" w:space="0"/>
              <w:left w:val="nil"/>
              <w:bottom w:val="single" w:color="000000" w:sz="4" w:space="0"/>
              <w:right w:val="single" w:color="000000" w:sz="4" w:space="0"/>
            </w:tcBorders>
            <w:vAlign w:val="center"/>
          </w:tcPr>
          <w:p w14:paraId="47FD503C">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非甲烷总烃</w:t>
            </w:r>
          </w:p>
        </w:tc>
        <w:tc>
          <w:tcPr>
            <w:tcW w:w="1590" w:type="dxa"/>
            <w:tcBorders>
              <w:top w:val="single" w:color="000000" w:sz="4" w:space="0"/>
              <w:left w:val="single" w:color="000000" w:sz="4" w:space="0"/>
              <w:bottom w:val="single" w:color="000000" w:sz="4" w:space="0"/>
              <w:right w:val="single" w:color="000000" w:sz="4" w:space="0"/>
            </w:tcBorders>
            <w:vAlign w:val="center"/>
          </w:tcPr>
          <w:p w14:paraId="45F33225">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60</w:t>
            </w:r>
          </w:p>
        </w:tc>
        <w:tc>
          <w:tcPr>
            <w:tcW w:w="1174" w:type="dxa"/>
            <w:tcBorders>
              <w:top w:val="single" w:color="000000" w:sz="4" w:space="0"/>
              <w:left w:val="single" w:color="000000" w:sz="4" w:space="0"/>
              <w:bottom w:val="single" w:color="000000" w:sz="4" w:space="0"/>
              <w:right w:val="single" w:color="000000" w:sz="4" w:space="0"/>
            </w:tcBorders>
            <w:vAlign w:val="center"/>
          </w:tcPr>
          <w:p w14:paraId="41C25D84">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w w:val="99"/>
                <w:sz w:val="24"/>
                <w:szCs w:val="24"/>
              </w:rPr>
              <w:t>3</w:t>
            </w:r>
          </w:p>
        </w:tc>
        <w:tc>
          <w:tcPr>
            <w:tcW w:w="1658" w:type="dxa"/>
            <w:tcBorders>
              <w:top w:val="single" w:color="000000" w:sz="4" w:space="0"/>
              <w:left w:val="single" w:color="000000" w:sz="4" w:space="0"/>
              <w:bottom w:val="single" w:color="000000" w:sz="4" w:space="0"/>
              <w:right w:val="single" w:color="000000" w:sz="4" w:space="0"/>
            </w:tcBorders>
            <w:vAlign w:val="center"/>
          </w:tcPr>
          <w:p w14:paraId="5604BB0D">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4.0</w:t>
            </w:r>
          </w:p>
        </w:tc>
        <w:tc>
          <w:tcPr>
            <w:tcW w:w="2599" w:type="dxa"/>
            <w:vMerge w:val="restart"/>
            <w:tcBorders>
              <w:top w:val="single" w:color="000000" w:sz="4" w:space="0"/>
              <w:left w:val="single" w:color="000000" w:sz="4" w:space="0"/>
              <w:bottom w:val="single" w:color="000000" w:sz="4" w:space="0"/>
              <w:right w:val="nil"/>
            </w:tcBorders>
            <w:vAlign w:val="center"/>
          </w:tcPr>
          <w:p w14:paraId="582AD98F">
            <w:pPr>
              <w:pStyle w:val="45"/>
              <w:spacing w:before="26"/>
              <w:ind w:left="133" w:right="111"/>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大气污染物综合排放标准DB32/4041-2021</w:t>
            </w:r>
          </w:p>
        </w:tc>
      </w:tr>
      <w:tr w14:paraId="7261CE4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501" w:type="dxa"/>
            <w:tcBorders>
              <w:top w:val="single" w:color="000000" w:sz="4" w:space="0"/>
              <w:left w:val="nil"/>
              <w:bottom w:val="single" w:color="000000" w:sz="4" w:space="0"/>
              <w:right w:val="single" w:color="000000" w:sz="4" w:space="0"/>
            </w:tcBorders>
            <w:vAlign w:val="center"/>
          </w:tcPr>
          <w:p w14:paraId="578453C9">
            <w:pPr>
              <w:pStyle w:val="45"/>
              <w:keepNext w:val="0"/>
              <w:keepLines w:val="0"/>
              <w:pageBreakBefore w:val="0"/>
              <w:widowControl w:val="0"/>
              <w:kinsoku/>
              <w:wordWrap/>
              <w:overflowPunct/>
              <w:topLinePunct w:val="0"/>
              <w:bidi w:val="0"/>
              <w:adjustRightInd w:val="0"/>
              <w:snapToGrid/>
              <w:spacing w:before="0"/>
              <w:ind w:left="0" w:right="0"/>
              <w:textAlignment w:val="auto"/>
              <w:rPr>
                <w:rFonts w:hint="eastAsia" w:ascii="Times New Roman" w:hAnsi="Times New Roman" w:eastAsia="仿宋" w:cs="Times New Roman"/>
                <w:sz w:val="24"/>
                <w:szCs w:val="24"/>
                <w:lang w:eastAsia="zh-CN"/>
              </w:rPr>
            </w:pPr>
            <w:r>
              <w:rPr>
                <w:rFonts w:hint="eastAsia" w:eastAsia="仿宋" w:cs="Times New Roman"/>
                <w:sz w:val="24"/>
                <w:szCs w:val="24"/>
                <w:lang w:eastAsia="zh-CN"/>
              </w:rPr>
              <w:t>*</w:t>
            </w:r>
          </w:p>
        </w:tc>
        <w:tc>
          <w:tcPr>
            <w:tcW w:w="1590" w:type="dxa"/>
            <w:tcBorders>
              <w:top w:val="single" w:color="000000" w:sz="4" w:space="0"/>
              <w:left w:val="single" w:color="000000" w:sz="4" w:space="0"/>
              <w:bottom w:val="single" w:color="000000" w:sz="4" w:space="0"/>
              <w:right w:val="single" w:color="000000" w:sz="4" w:space="0"/>
            </w:tcBorders>
            <w:vAlign w:val="center"/>
          </w:tcPr>
          <w:p w14:paraId="57A92D34">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80</w:t>
            </w:r>
          </w:p>
        </w:tc>
        <w:tc>
          <w:tcPr>
            <w:tcW w:w="1174" w:type="dxa"/>
            <w:tcBorders>
              <w:top w:val="single" w:color="000000" w:sz="4" w:space="0"/>
              <w:left w:val="single" w:color="000000" w:sz="4" w:space="0"/>
              <w:bottom w:val="single" w:color="000000" w:sz="4" w:space="0"/>
              <w:right w:val="single" w:color="000000" w:sz="4" w:space="0"/>
            </w:tcBorders>
            <w:vAlign w:val="center"/>
          </w:tcPr>
          <w:p w14:paraId="1CD69CFD">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w w:val="99"/>
                <w:sz w:val="24"/>
                <w:szCs w:val="24"/>
              </w:rPr>
              <w:t>2</w:t>
            </w:r>
          </w:p>
        </w:tc>
        <w:tc>
          <w:tcPr>
            <w:tcW w:w="1658" w:type="dxa"/>
            <w:tcBorders>
              <w:top w:val="single" w:color="000000" w:sz="4" w:space="0"/>
              <w:left w:val="single" w:color="000000" w:sz="4" w:space="0"/>
              <w:bottom w:val="single" w:color="000000" w:sz="4" w:space="0"/>
              <w:right w:val="single" w:color="000000" w:sz="4" w:space="0"/>
            </w:tcBorders>
            <w:vAlign w:val="center"/>
          </w:tcPr>
          <w:p w14:paraId="05559B96">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1.0</w:t>
            </w:r>
          </w:p>
        </w:tc>
        <w:tc>
          <w:tcPr>
            <w:tcW w:w="2599" w:type="dxa"/>
            <w:vMerge w:val="continue"/>
            <w:tcBorders>
              <w:top w:val="nil"/>
              <w:left w:val="single" w:color="000000" w:sz="4" w:space="0"/>
              <w:bottom w:val="single" w:color="000000" w:sz="4" w:space="0"/>
              <w:right w:val="nil"/>
            </w:tcBorders>
            <w:vAlign w:val="center"/>
          </w:tcPr>
          <w:p w14:paraId="7E399154">
            <w:pPr>
              <w:ind w:firstLine="480"/>
              <w:jc w:val="center"/>
              <w:rPr>
                <w:rFonts w:hint="default" w:ascii="Times New Roman" w:hAnsi="Times New Roman" w:eastAsia="仿宋" w:cs="Times New Roman"/>
                <w:szCs w:val="24"/>
              </w:rPr>
            </w:pPr>
          </w:p>
        </w:tc>
      </w:tr>
      <w:tr w14:paraId="15E58E8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501" w:type="dxa"/>
            <w:tcBorders>
              <w:top w:val="single" w:color="000000" w:sz="4" w:space="0"/>
              <w:left w:val="nil"/>
              <w:bottom w:val="single" w:color="000000" w:sz="4" w:space="0"/>
              <w:right w:val="single" w:color="000000" w:sz="4" w:space="0"/>
            </w:tcBorders>
            <w:vAlign w:val="center"/>
          </w:tcPr>
          <w:p w14:paraId="4C7FF49F">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油雾</w:t>
            </w:r>
          </w:p>
        </w:tc>
        <w:tc>
          <w:tcPr>
            <w:tcW w:w="1590" w:type="dxa"/>
            <w:tcBorders>
              <w:top w:val="single" w:color="000000" w:sz="4" w:space="0"/>
              <w:left w:val="single" w:color="000000" w:sz="4" w:space="0"/>
              <w:bottom w:val="single" w:color="000000" w:sz="4" w:space="0"/>
              <w:right w:val="single" w:color="000000" w:sz="4" w:space="0"/>
            </w:tcBorders>
            <w:vAlign w:val="center"/>
          </w:tcPr>
          <w:p w14:paraId="29131853">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w w:val="99"/>
                <w:sz w:val="24"/>
                <w:szCs w:val="24"/>
              </w:rPr>
              <w:t>5</w:t>
            </w:r>
          </w:p>
        </w:tc>
        <w:tc>
          <w:tcPr>
            <w:tcW w:w="1174" w:type="dxa"/>
            <w:tcBorders>
              <w:top w:val="single" w:color="000000" w:sz="4" w:space="0"/>
              <w:left w:val="single" w:color="000000" w:sz="4" w:space="0"/>
              <w:bottom w:val="single" w:color="000000" w:sz="4" w:space="0"/>
              <w:right w:val="single" w:color="000000" w:sz="4" w:space="0"/>
            </w:tcBorders>
            <w:vAlign w:val="center"/>
          </w:tcPr>
          <w:p w14:paraId="26DCE4CC">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w w:val="99"/>
                <w:sz w:val="24"/>
                <w:szCs w:val="24"/>
              </w:rPr>
              <w:t>/</w:t>
            </w:r>
          </w:p>
        </w:tc>
        <w:tc>
          <w:tcPr>
            <w:tcW w:w="1658" w:type="dxa"/>
            <w:tcBorders>
              <w:top w:val="single" w:color="000000" w:sz="4" w:space="0"/>
              <w:left w:val="single" w:color="000000" w:sz="4" w:space="0"/>
              <w:bottom w:val="single" w:color="000000" w:sz="4" w:space="0"/>
              <w:right w:val="single" w:color="000000" w:sz="4" w:space="0"/>
            </w:tcBorders>
            <w:vAlign w:val="center"/>
          </w:tcPr>
          <w:p w14:paraId="5E4FAF0E">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w w:val="99"/>
                <w:sz w:val="24"/>
                <w:szCs w:val="24"/>
              </w:rPr>
              <w:t>/</w:t>
            </w:r>
          </w:p>
        </w:tc>
        <w:tc>
          <w:tcPr>
            <w:tcW w:w="2599" w:type="dxa"/>
            <w:tcBorders>
              <w:top w:val="single" w:color="000000" w:sz="4" w:space="0"/>
              <w:left w:val="single" w:color="000000" w:sz="4" w:space="0"/>
              <w:bottom w:val="single" w:color="000000" w:sz="4" w:space="0"/>
              <w:right w:val="nil"/>
            </w:tcBorders>
            <w:vAlign w:val="center"/>
          </w:tcPr>
          <w:p w14:paraId="5CCE9C1F">
            <w:pPr>
              <w:pStyle w:val="45"/>
              <w:spacing w:before="21"/>
              <w:ind w:left="133" w:right="111"/>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上海市大气污染物综合排放标准 DB31 933-2015</w:t>
            </w:r>
          </w:p>
        </w:tc>
      </w:tr>
      <w:tr w14:paraId="505DD6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501" w:type="dxa"/>
            <w:tcBorders>
              <w:top w:val="single" w:color="000000" w:sz="4" w:space="0"/>
              <w:left w:val="nil"/>
              <w:bottom w:val="single" w:color="000000" w:sz="4" w:space="0"/>
              <w:right w:val="single" w:color="000000" w:sz="4" w:space="0"/>
            </w:tcBorders>
            <w:vAlign w:val="center"/>
          </w:tcPr>
          <w:p w14:paraId="48B6020D">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臭气浓度</w:t>
            </w:r>
          </w:p>
        </w:tc>
        <w:tc>
          <w:tcPr>
            <w:tcW w:w="1590" w:type="dxa"/>
            <w:tcBorders>
              <w:top w:val="single" w:color="000000" w:sz="4" w:space="0"/>
              <w:left w:val="single" w:color="000000" w:sz="4" w:space="0"/>
              <w:bottom w:val="single" w:color="000000" w:sz="4" w:space="0"/>
              <w:right w:val="single" w:color="000000" w:sz="4" w:space="0"/>
            </w:tcBorders>
            <w:vAlign w:val="center"/>
          </w:tcPr>
          <w:p w14:paraId="30727E92">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2000（无量纲）</w:t>
            </w:r>
          </w:p>
        </w:tc>
        <w:tc>
          <w:tcPr>
            <w:tcW w:w="1174" w:type="dxa"/>
            <w:tcBorders>
              <w:top w:val="single" w:color="000000" w:sz="4" w:space="0"/>
              <w:left w:val="single" w:color="000000" w:sz="4" w:space="0"/>
              <w:bottom w:val="single" w:color="000000" w:sz="4" w:space="0"/>
              <w:right w:val="single" w:color="000000" w:sz="4" w:space="0"/>
            </w:tcBorders>
            <w:vAlign w:val="center"/>
          </w:tcPr>
          <w:p w14:paraId="6C7A3F2B">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w w:val="99"/>
                <w:sz w:val="24"/>
                <w:szCs w:val="24"/>
              </w:rPr>
              <w:t>/</w:t>
            </w:r>
          </w:p>
        </w:tc>
        <w:tc>
          <w:tcPr>
            <w:tcW w:w="1658" w:type="dxa"/>
            <w:tcBorders>
              <w:top w:val="single" w:color="000000" w:sz="4" w:space="0"/>
              <w:left w:val="single" w:color="000000" w:sz="4" w:space="0"/>
              <w:bottom w:val="single" w:color="000000" w:sz="4" w:space="0"/>
              <w:right w:val="single" w:color="000000" w:sz="4" w:space="0"/>
            </w:tcBorders>
            <w:vAlign w:val="center"/>
          </w:tcPr>
          <w:p w14:paraId="65E58873">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20（无量纲）</w:t>
            </w:r>
          </w:p>
        </w:tc>
        <w:tc>
          <w:tcPr>
            <w:tcW w:w="2599" w:type="dxa"/>
            <w:vMerge w:val="restart"/>
            <w:tcBorders>
              <w:top w:val="single" w:color="000000" w:sz="4" w:space="0"/>
              <w:left w:val="single" w:color="000000" w:sz="4" w:space="0"/>
              <w:right w:val="nil"/>
            </w:tcBorders>
            <w:vAlign w:val="center"/>
          </w:tcPr>
          <w:p w14:paraId="407B0E23">
            <w:pPr>
              <w:pStyle w:val="45"/>
              <w:spacing w:before="20"/>
              <w:ind w:left="130" w:right="111"/>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恶臭污染物排放标准</w:t>
            </w:r>
          </w:p>
          <w:p w14:paraId="465CB1C0">
            <w:pPr>
              <w:pStyle w:val="45"/>
              <w:spacing w:before="57"/>
              <w:ind w:left="133" w:right="11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GB14554-93</w:t>
            </w:r>
          </w:p>
        </w:tc>
      </w:tr>
      <w:tr w14:paraId="7719210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501" w:type="dxa"/>
            <w:tcBorders>
              <w:top w:val="single" w:color="000000" w:sz="4" w:space="0"/>
              <w:left w:val="nil"/>
              <w:bottom w:val="single" w:color="000000" w:sz="4" w:space="0"/>
              <w:right w:val="single" w:color="000000" w:sz="4" w:space="0"/>
            </w:tcBorders>
            <w:vAlign w:val="top"/>
          </w:tcPr>
          <w:p w14:paraId="26FF0173">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氨</w:t>
            </w:r>
          </w:p>
        </w:tc>
        <w:tc>
          <w:tcPr>
            <w:tcW w:w="1590" w:type="dxa"/>
            <w:tcBorders>
              <w:top w:val="single" w:color="000000" w:sz="4" w:space="0"/>
              <w:left w:val="single" w:color="000000" w:sz="4" w:space="0"/>
              <w:bottom w:val="single" w:color="000000" w:sz="4" w:space="0"/>
              <w:right w:val="single" w:color="000000" w:sz="4" w:space="0"/>
            </w:tcBorders>
            <w:vAlign w:val="top"/>
          </w:tcPr>
          <w:p w14:paraId="1C56714B">
            <w:pPr>
              <w:pStyle w:val="45"/>
              <w:keepNext w:val="0"/>
              <w:keepLines w:val="0"/>
              <w:pageBreakBefore w:val="0"/>
              <w:widowControl w:val="0"/>
              <w:kinsoku/>
              <w:wordWrap/>
              <w:overflowPunct/>
              <w:topLinePunct w:val="0"/>
              <w:bidi w:val="0"/>
              <w:adjustRightInd w:val="0"/>
              <w:snapToGrid/>
              <w:spacing w:before="0"/>
              <w:ind w:left="0" w:leftChars="0" w:right="0" w:firstLine="0" w:firstLineChars="0"/>
              <w:textAlignment w:val="auto"/>
              <w:rPr>
                <w:rFonts w:hint="default" w:ascii="Times New Roman" w:hAnsi="Times New Roman" w:eastAsia="仿宋" w:cs="Times New Roman"/>
                <w:sz w:val="24"/>
                <w:szCs w:val="24"/>
              </w:rPr>
            </w:pPr>
            <w:r>
              <w:rPr>
                <w:rFonts w:hint="default" w:ascii="Times New Roman" w:hAnsi="Times New Roman" w:cs="Times New Roman"/>
                <w:w w:val="99"/>
                <w:sz w:val="21"/>
              </w:rPr>
              <w:t>/</w:t>
            </w:r>
          </w:p>
        </w:tc>
        <w:tc>
          <w:tcPr>
            <w:tcW w:w="1174" w:type="dxa"/>
            <w:tcBorders>
              <w:top w:val="single" w:color="000000" w:sz="4" w:space="0"/>
              <w:left w:val="single" w:color="000000" w:sz="4" w:space="0"/>
              <w:bottom w:val="single" w:color="000000" w:sz="4" w:space="0"/>
              <w:right w:val="single" w:color="000000" w:sz="4" w:space="0"/>
            </w:tcBorders>
            <w:vAlign w:val="center"/>
          </w:tcPr>
          <w:p w14:paraId="159980FA">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w w:val="99"/>
                <w:sz w:val="24"/>
                <w:szCs w:val="24"/>
              </w:rPr>
            </w:pPr>
            <w:r>
              <w:rPr>
                <w:rFonts w:hint="default" w:ascii="Times New Roman" w:hAnsi="Times New Roman" w:cs="Times New Roman"/>
                <w:sz w:val="24"/>
                <w:szCs w:val="24"/>
              </w:rPr>
              <w:t>4.90</w:t>
            </w:r>
          </w:p>
        </w:tc>
        <w:tc>
          <w:tcPr>
            <w:tcW w:w="1658" w:type="dxa"/>
            <w:tcBorders>
              <w:top w:val="single" w:color="000000" w:sz="4" w:space="0"/>
              <w:left w:val="single" w:color="000000" w:sz="4" w:space="0"/>
              <w:bottom w:val="single" w:color="000000" w:sz="4" w:space="0"/>
              <w:right w:val="single" w:color="000000" w:sz="4" w:space="0"/>
            </w:tcBorders>
            <w:vAlign w:val="center"/>
          </w:tcPr>
          <w:p w14:paraId="40491087">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cs="Times New Roman"/>
                <w:sz w:val="24"/>
                <w:szCs w:val="24"/>
              </w:rPr>
              <w:t>1.50</w:t>
            </w:r>
          </w:p>
        </w:tc>
        <w:tc>
          <w:tcPr>
            <w:tcW w:w="2599" w:type="dxa"/>
            <w:vMerge w:val="continue"/>
            <w:tcBorders>
              <w:left w:val="single" w:color="000000" w:sz="4" w:space="0"/>
              <w:right w:val="nil"/>
            </w:tcBorders>
            <w:vAlign w:val="center"/>
          </w:tcPr>
          <w:p w14:paraId="071E82C1">
            <w:pPr>
              <w:pStyle w:val="45"/>
              <w:spacing w:before="57"/>
              <w:ind w:left="133" w:right="110"/>
              <w:rPr>
                <w:rFonts w:hint="default" w:ascii="Times New Roman" w:hAnsi="Times New Roman" w:eastAsia="仿宋" w:cs="Times New Roman"/>
                <w:sz w:val="24"/>
                <w:szCs w:val="24"/>
              </w:rPr>
            </w:pPr>
          </w:p>
        </w:tc>
      </w:tr>
      <w:tr w14:paraId="68B595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501" w:type="dxa"/>
            <w:tcBorders>
              <w:top w:val="single" w:color="000000" w:sz="4" w:space="0"/>
              <w:left w:val="nil"/>
              <w:right w:val="single" w:color="000000" w:sz="4" w:space="0"/>
            </w:tcBorders>
            <w:vAlign w:val="top"/>
          </w:tcPr>
          <w:p w14:paraId="0A788516">
            <w:pPr>
              <w:pStyle w:val="45"/>
              <w:keepNext w:val="0"/>
              <w:keepLines w:val="0"/>
              <w:pageBreakBefore w:val="0"/>
              <w:widowControl w:val="0"/>
              <w:kinsoku/>
              <w:wordWrap/>
              <w:overflowPunct/>
              <w:topLinePunct w:val="0"/>
              <w:bidi w:val="0"/>
              <w:adjustRightInd w:val="0"/>
              <w:snapToGrid/>
              <w:spacing w:before="0"/>
              <w:ind w:left="0" w:right="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硫化氢</w:t>
            </w:r>
          </w:p>
        </w:tc>
        <w:tc>
          <w:tcPr>
            <w:tcW w:w="1590" w:type="dxa"/>
            <w:tcBorders>
              <w:top w:val="single" w:color="000000" w:sz="4" w:space="0"/>
              <w:left w:val="single" w:color="000000" w:sz="4" w:space="0"/>
              <w:right w:val="single" w:color="000000" w:sz="4" w:space="0"/>
            </w:tcBorders>
            <w:vAlign w:val="top"/>
          </w:tcPr>
          <w:p w14:paraId="0799D2DD">
            <w:pPr>
              <w:pStyle w:val="45"/>
              <w:keepNext w:val="0"/>
              <w:keepLines w:val="0"/>
              <w:pageBreakBefore w:val="0"/>
              <w:widowControl w:val="0"/>
              <w:kinsoku/>
              <w:wordWrap/>
              <w:overflowPunct/>
              <w:topLinePunct w:val="0"/>
              <w:bidi w:val="0"/>
              <w:adjustRightInd w:val="0"/>
              <w:snapToGrid/>
              <w:spacing w:before="0"/>
              <w:ind w:left="0" w:leftChars="0" w:right="0" w:firstLine="0" w:firstLineChars="0"/>
              <w:textAlignment w:val="auto"/>
              <w:rPr>
                <w:rFonts w:hint="default" w:ascii="Times New Roman" w:hAnsi="Times New Roman" w:eastAsia="仿宋" w:cs="Times New Roman"/>
                <w:sz w:val="24"/>
                <w:szCs w:val="24"/>
              </w:rPr>
            </w:pPr>
            <w:r>
              <w:rPr>
                <w:rFonts w:hint="default" w:ascii="Times New Roman" w:hAnsi="Times New Roman" w:cs="Times New Roman"/>
                <w:w w:val="99"/>
                <w:sz w:val="21"/>
              </w:rPr>
              <w:t>/</w:t>
            </w:r>
          </w:p>
        </w:tc>
        <w:tc>
          <w:tcPr>
            <w:tcW w:w="1174" w:type="dxa"/>
            <w:tcBorders>
              <w:top w:val="single" w:color="000000" w:sz="4" w:space="0"/>
              <w:left w:val="single" w:color="000000" w:sz="4" w:space="0"/>
              <w:right w:val="single" w:color="000000" w:sz="4" w:space="0"/>
            </w:tcBorders>
            <w:vAlign w:val="center"/>
          </w:tcPr>
          <w:p w14:paraId="36BC8B8B">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w w:val="99"/>
                <w:sz w:val="24"/>
                <w:szCs w:val="24"/>
              </w:rPr>
            </w:pPr>
            <w:r>
              <w:rPr>
                <w:rFonts w:hint="default" w:ascii="Times New Roman" w:hAnsi="Times New Roman" w:cs="Times New Roman"/>
                <w:sz w:val="24"/>
                <w:szCs w:val="24"/>
              </w:rPr>
              <w:t>0.33</w:t>
            </w:r>
          </w:p>
        </w:tc>
        <w:tc>
          <w:tcPr>
            <w:tcW w:w="1658" w:type="dxa"/>
            <w:tcBorders>
              <w:top w:val="single" w:color="000000" w:sz="4" w:space="0"/>
              <w:left w:val="single" w:color="000000" w:sz="4" w:space="0"/>
              <w:right w:val="single" w:color="000000" w:sz="4" w:space="0"/>
            </w:tcBorders>
            <w:vAlign w:val="center"/>
          </w:tcPr>
          <w:p w14:paraId="059A3EE9">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cs="Times New Roman"/>
                <w:sz w:val="24"/>
                <w:szCs w:val="24"/>
              </w:rPr>
              <w:t>0.06</w:t>
            </w:r>
          </w:p>
        </w:tc>
        <w:tc>
          <w:tcPr>
            <w:tcW w:w="2599" w:type="dxa"/>
            <w:vMerge w:val="continue"/>
            <w:tcBorders>
              <w:left w:val="single" w:color="000000" w:sz="4" w:space="0"/>
              <w:right w:val="nil"/>
            </w:tcBorders>
            <w:vAlign w:val="center"/>
          </w:tcPr>
          <w:p w14:paraId="045FCBCE">
            <w:pPr>
              <w:pStyle w:val="45"/>
              <w:spacing w:before="57"/>
              <w:ind w:left="133" w:right="110"/>
              <w:rPr>
                <w:rFonts w:hint="default" w:ascii="Times New Roman" w:hAnsi="Times New Roman" w:eastAsia="仿宋" w:cs="Times New Roman"/>
                <w:sz w:val="24"/>
                <w:szCs w:val="24"/>
              </w:rPr>
            </w:pPr>
          </w:p>
        </w:tc>
      </w:tr>
    </w:tbl>
    <w:p w14:paraId="51021E13">
      <w:pPr>
        <w:tabs>
          <w:tab w:val="left" w:pos="3415"/>
        </w:tabs>
        <w:ind w:left="1773" w:firstLine="562"/>
        <w:rPr>
          <w:rFonts w:hint="default" w:ascii="Times New Roman" w:hAnsi="Times New Roman" w:eastAsia="仿宋" w:cs="Times New Roman"/>
          <w:b/>
          <w:snapToGrid w:val="0"/>
          <w:kern w:val="0"/>
          <w:sz w:val="28"/>
          <w:szCs w:val="28"/>
        </w:rPr>
      </w:pPr>
      <w:r>
        <w:rPr>
          <w:rFonts w:hint="default" w:ascii="Times New Roman" w:hAnsi="Times New Roman" w:eastAsia="仿宋" w:cs="Times New Roman"/>
          <w:b/>
          <w:snapToGrid w:val="0"/>
          <w:kern w:val="0"/>
          <w:sz w:val="28"/>
          <w:szCs w:val="28"/>
        </w:rPr>
        <w:t>表6.2-2</w:t>
      </w:r>
      <w:r>
        <w:rPr>
          <w:rFonts w:hint="default" w:ascii="Times New Roman" w:hAnsi="Times New Roman" w:eastAsia="仿宋" w:cs="Times New Roman"/>
          <w:b/>
          <w:snapToGrid w:val="0"/>
          <w:kern w:val="0"/>
          <w:sz w:val="28"/>
          <w:szCs w:val="28"/>
        </w:rPr>
        <w:tab/>
      </w:r>
      <w:r>
        <w:rPr>
          <w:rFonts w:hint="default" w:ascii="Times New Roman" w:hAnsi="Times New Roman" w:eastAsia="仿宋" w:cs="Times New Roman"/>
          <w:b/>
          <w:snapToGrid w:val="0"/>
          <w:kern w:val="0"/>
          <w:sz w:val="28"/>
          <w:szCs w:val="28"/>
        </w:rPr>
        <w:t>厂区内厂房外大气污染物排放标准</w:t>
      </w:r>
    </w:p>
    <w:tbl>
      <w:tblPr>
        <w:tblStyle w:val="25"/>
        <w:tblW w:w="0" w:type="auto"/>
        <w:tblInd w:w="1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72"/>
        <w:gridCol w:w="1600"/>
        <w:gridCol w:w="1309"/>
        <w:gridCol w:w="1439"/>
        <w:gridCol w:w="3302"/>
      </w:tblGrid>
      <w:tr w14:paraId="6329BF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872" w:type="dxa"/>
            <w:vMerge w:val="restart"/>
            <w:tcBorders>
              <w:left w:val="nil"/>
              <w:bottom w:val="single" w:color="000000" w:sz="2" w:space="0"/>
              <w:right w:val="single" w:color="000000" w:sz="2" w:space="0"/>
            </w:tcBorders>
            <w:vAlign w:val="center"/>
          </w:tcPr>
          <w:p w14:paraId="02BADB98">
            <w:pPr>
              <w:pStyle w:val="45"/>
              <w:keepNext w:val="0"/>
              <w:keepLines w:val="0"/>
              <w:pageBreakBefore w:val="0"/>
              <w:kinsoku/>
              <w:wordWrap/>
              <w:overflowPunct/>
              <w:topLinePunct w:val="0"/>
              <w:bidi w:val="0"/>
              <w:snapToGrid/>
              <w:spacing w:before="0"/>
              <w:ind w:left="0"/>
              <w:textAlignment w:val="auto"/>
              <w:rPr>
                <w:rFonts w:hint="default" w:ascii="Times New Roman" w:hAnsi="Times New Roman" w:eastAsia="仿宋" w:cs="Times New Roman"/>
                <w:b/>
                <w:snapToGrid w:val="0"/>
                <w:sz w:val="24"/>
                <w:szCs w:val="24"/>
              </w:rPr>
            </w:pPr>
            <w:r>
              <w:rPr>
                <w:rFonts w:hint="default" w:ascii="Times New Roman" w:hAnsi="Times New Roman" w:eastAsia="仿宋" w:cs="Times New Roman"/>
                <w:b/>
                <w:snapToGrid w:val="0"/>
                <w:sz w:val="24"/>
                <w:szCs w:val="24"/>
              </w:rPr>
              <w:t>污染物</w:t>
            </w:r>
          </w:p>
        </w:tc>
        <w:tc>
          <w:tcPr>
            <w:tcW w:w="4348" w:type="dxa"/>
            <w:gridSpan w:val="3"/>
            <w:tcBorders>
              <w:left w:val="single" w:color="000000" w:sz="2" w:space="0"/>
              <w:bottom w:val="single" w:color="000000" w:sz="2" w:space="0"/>
              <w:right w:val="single" w:color="000000" w:sz="2" w:space="0"/>
            </w:tcBorders>
            <w:vAlign w:val="center"/>
          </w:tcPr>
          <w:p w14:paraId="5A276D40">
            <w:pPr>
              <w:pStyle w:val="45"/>
              <w:keepNext w:val="0"/>
              <w:keepLines w:val="0"/>
              <w:pageBreakBefore w:val="0"/>
              <w:kinsoku/>
              <w:wordWrap/>
              <w:overflowPunct/>
              <w:topLinePunct w:val="0"/>
              <w:bidi w:val="0"/>
              <w:snapToGrid/>
              <w:spacing w:before="0"/>
              <w:ind w:left="0"/>
              <w:textAlignment w:val="auto"/>
              <w:rPr>
                <w:rFonts w:hint="default" w:ascii="Times New Roman" w:hAnsi="Times New Roman" w:eastAsia="仿宋" w:cs="Times New Roman"/>
                <w:b/>
                <w:snapToGrid w:val="0"/>
                <w:sz w:val="24"/>
                <w:szCs w:val="24"/>
              </w:rPr>
            </w:pPr>
            <w:r>
              <w:rPr>
                <w:rFonts w:hint="default" w:ascii="Times New Roman" w:hAnsi="Times New Roman" w:eastAsia="仿宋" w:cs="Times New Roman"/>
                <w:b/>
                <w:snapToGrid w:val="0"/>
                <w:sz w:val="24"/>
                <w:szCs w:val="24"/>
              </w:rPr>
              <w:t>无组织排放监控浓度限值</w:t>
            </w:r>
          </w:p>
        </w:tc>
        <w:tc>
          <w:tcPr>
            <w:tcW w:w="3302" w:type="dxa"/>
            <w:vMerge w:val="restart"/>
            <w:tcBorders>
              <w:left w:val="single" w:color="000000" w:sz="2" w:space="0"/>
              <w:bottom w:val="single" w:color="000000" w:sz="2" w:space="0"/>
              <w:right w:val="nil"/>
            </w:tcBorders>
            <w:vAlign w:val="center"/>
          </w:tcPr>
          <w:p w14:paraId="7ED7E0EB">
            <w:pPr>
              <w:pStyle w:val="45"/>
              <w:keepNext w:val="0"/>
              <w:keepLines w:val="0"/>
              <w:pageBreakBefore w:val="0"/>
              <w:kinsoku/>
              <w:wordWrap/>
              <w:overflowPunct/>
              <w:topLinePunct w:val="0"/>
              <w:bidi w:val="0"/>
              <w:snapToGrid/>
              <w:spacing w:before="0"/>
              <w:ind w:left="0"/>
              <w:textAlignment w:val="auto"/>
              <w:rPr>
                <w:rFonts w:hint="default" w:ascii="Times New Roman" w:hAnsi="Times New Roman" w:eastAsia="仿宋" w:cs="Times New Roman"/>
                <w:b/>
                <w:snapToGrid w:val="0"/>
                <w:sz w:val="24"/>
                <w:szCs w:val="24"/>
                <w:lang w:val="en-US"/>
              </w:rPr>
            </w:pPr>
            <w:r>
              <w:rPr>
                <w:rFonts w:hint="default" w:ascii="Times New Roman" w:hAnsi="Times New Roman" w:eastAsia="仿宋" w:cs="Times New Roman"/>
                <w:b/>
                <w:snapToGrid w:val="0"/>
                <w:sz w:val="24"/>
                <w:szCs w:val="24"/>
                <w:lang w:val="en-US"/>
              </w:rPr>
              <w:t>采用标准</w:t>
            </w:r>
          </w:p>
        </w:tc>
      </w:tr>
      <w:tr w14:paraId="60B275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872" w:type="dxa"/>
            <w:vMerge w:val="continue"/>
            <w:tcBorders>
              <w:top w:val="nil"/>
              <w:left w:val="nil"/>
              <w:bottom w:val="single" w:color="000000" w:sz="2" w:space="0"/>
              <w:right w:val="single" w:color="000000" w:sz="2" w:space="0"/>
            </w:tcBorders>
            <w:vAlign w:val="center"/>
          </w:tcPr>
          <w:p w14:paraId="67F90B16">
            <w:pPr>
              <w:keepNext w:val="0"/>
              <w:keepLines w:val="0"/>
              <w:pageBreakBefore w:val="0"/>
              <w:kinsoku/>
              <w:wordWrap/>
              <w:overflowPunct/>
              <w:topLinePunct w:val="0"/>
              <w:bidi w:val="0"/>
              <w:snapToGrid/>
              <w:ind w:left="0" w:firstLine="480"/>
              <w:jc w:val="center"/>
              <w:textAlignment w:val="auto"/>
              <w:rPr>
                <w:rFonts w:hint="default" w:ascii="Times New Roman" w:hAnsi="Times New Roman" w:eastAsia="仿宋" w:cs="Times New Roman"/>
                <w:snapToGrid w:val="0"/>
                <w:kern w:val="0"/>
                <w:szCs w:val="24"/>
              </w:rPr>
            </w:pPr>
          </w:p>
        </w:tc>
        <w:tc>
          <w:tcPr>
            <w:tcW w:w="1600" w:type="dxa"/>
            <w:tcBorders>
              <w:top w:val="single" w:color="000000" w:sz="2" w:space="0"/>
              <w:left w:val="single" w:color="000000" w:sz="2" w:space="0"/>
              <w:bottom w:val="single" w:color="000000" w:sz="2" w:space="0"/>
              <w:right w:val="single" w:color="000000" w:sz="2" w:space="0"/>
            </w:tcBorders>
            <w:vAlign w:val="center"/>
          </w:tcPr>
          <w:p w14:paraId="078FE1AA">
            <w:pPr>
              <w:pStyle w:val="45"/>
              <w:keepNext w:val="0"/>
              <w:keepLines w:val="0"/>
              <w:pageBreakBefore w:val="0"/>
              <w:kinsoku/>
              <w:wordWrap/>
              <w:overflowPunct/>
              <w:topLinePunct w:val="0"/>
              <w:bidi w:val="0"/>
              <w:snapToGrid/>
              <w:spacing w:before="0"/>
              <w:ind w:left="0" w:right="98"/>
              <w:textAlignment w:val="auto"/>
              <w:rPr>
                <w:rFonts w:hint="default" w:ascii="Times New Roman" w:hAnsi="Times New Roman" w:eastAsia="仿宋" w:cs="Times New Roman"/>
                <w:b/>
                <w:snapToGrid w:val="0"/>
                <w:sz w:val="24"/>
                <w:szCs w:val="24"/>
              </w:rPr>
            </w:pPr>
            <w:r>
              <w:rPr>
                <w:rFonts w:hint="default" w:ascii="Times New Roman" w:hAnsi="Times New Roman" w:eastAsia="仿宋" w:cs="Times New Roman"/>
                <w:b/>
                <w:snapToGrid w:val="0"/>
                <w:sz w:val="24"/>
                <w:szCs w:val="24"/>
              </w:rPr>
              <w:t>1h平均浓度浓度值mg/m</w:t>
            </w:r>
            <w:r>
              <w:rPr>
                <w:rFonts w:hint="default" w:ascii="Times New Roman" w:hAnsi="Times New Roman" w:eastAsia="仿宋" w:cs="Times New Roman"/>
                <w:b/>
                <w:snapToGrid w:val="0"/>
                <w:sz w:val="24"/>
                <w:szCs w:val="24"/>
                <w:vertAlign w:val="superscript"/>
              </w:rPr>
              <w:t>3</w:t>
            </w:r>
          </w:p>
        </w:tc>
        <w:tc>
          <w:tcPr>
            <w:tcW w:w="1309" w:type="dxa"/>
            <w:tcBorders>
              <w:top w:val="single" w:color="000000" w:sz="2" w:space="0"/>
              <w:left w:val="single" w:color="000000" w:sz="2" w:space="0"/>
              <w:bottom w:val="single" w:color="000000" w:sz="2" w:space="0"/>
              <w:right w:val="single" w:color="000000" w:sz="2" w:space="0"/>
            </w:tcBorders>
            <w:vAlign w:val="center"/>
          </w:tcPr>
          <w:p w14:paraId="5FDA1F1C">
            <w:pPr>
              <w:pStyle w:val="45"/>
              <w:keepNext w:val="0"/>
              <w:keepLines w:val="0"/>
              <w:pageBreakBefore w:val="0"/>
              <w:kinsoku/>
              <w:wordWrap/>
              <w:overflowPunct/>
              <w:topLinePunct w:val="0"/>
              <w:bidi w:val="0"/>
              <w:snapToGrid/>
              <w:spacing w:before="0"/>
              <w:ind w:left="0"/>
              <w:textAlignment w:val="auto"/>
              <w:rPr>
                <w:rFonts w:hint="default" w:ascii="Times New Roman" w:hAnsi="Times New Roman" w:eastAsia="仿宋" w:cs="Times New Roman"/>
                <w:b/>
                <w:snapToGrid w:val="0"/>
                <w:sz w:val="24"/>
                <w:szCs w:val="24"/>
              </w:rPr>
            </w:pPr>
            <w:r>
              <w:rPr>
                <w:rFonts w:hint="default" w:ascii="Times New Roman" w:hAnsi="Times New Roman" w:eastAsia="仿宋" w:cs="Times New Roman"/>
                <w:b/>
                <w:snapToGrid w:val="0"/>
                <w:sz w:val="24"/>
                <w:szCs w:val="24"/>
              </w:rPr>
              <w:t>任意一次浓度值mg/m</w:t>
            </w:r>
            <w:r>
              <w:rPr>
                <w:rFonts w:hint="default" w:ascii="Times New Roman" w:hAnsi="Times New Roman" w:eastAsia="仿宋" w:cs="Times New Roman"/>
                <w:b/>
                <w:snapToGrid w:val="0"/>
                <w:sz w:val="24"/>
                <w:szCs w:val="24"/>
                <w:vertAlign w:val="superscript"/>
              </w:rPr>
              <w:t>3</w:t>
            </w:r>
          </w:p>
        </w:tc>
        <w:tc>
          <w:tcPr>
            <w:tcW w:w="1439" w:type="dxa"/>
            <w:tcBorders>
              <w:top w:val="single" w:color="000000" w:sz="2" w:space="0"/>
              <w:left w:val="single" w:color="000000" w:sz="2" w:space="0"/>
              <w:bottom w:val="single" w:color="000000" w:sz="2" w:space="0"/>
              <w:right w:val="single" w:color="000000" w:sz="2" w:space="0"/>
            </w:tcBorders>
            <w:vAlign w:val="center"/>
          </w:tcPr>
          <w:p w14:paraId="1E37EE63">
            <w:pPr>
              <w:pStyle w:val="45"/>
              <w:keepNext w:val="0"/>
              <w:keepLines w:val="0"/>
              <w:pageBreakBefore w:val="0"/>
              <w:kinsoku/>
              <w:wordWrap/>
              <w:overflowPunct/>
              <w:topLinePunct w:val="0"/>
              <w:bidi w:val="0"/>
              <w:snapToGrid/>
              <w:spacing w:before="0"/>
              <w:ind w:left="0"/>
              <w:textAlignment w:val="auto"/>
              <w:rPr>
                <w:rFonts w:hint="default" w:ascii="Times New Roman" w:hAnsi="Times New Roman" w:eastAsia="仿宋" w:cs="Times New Roman"/>
                <w:b/>
                <w:snapToGrid w:val="0"/>
                <w:sz w:val="24"/>
                <w:szCs w:val="24"/>
              </w:rPr>
            </w:pPr>
            <w:r>
              <w:rPr>
                <w:rFonts w:hint="default" w:ascii="Times New Roman" w:hAnsi="Times New Roman" w:eastAsia="仿宋" w:cs="Times New Roman"/>
                <w:b/>
                <w:snapToGrid w:val="0"/>
                <w:sz w:val="24"/>
                <w:szCs w:val="24"/>
              </w:rPr>
              <w:t>监控点</w:t>
            </w:r>
          </w:p>
        </w:tc>
        <w:tc>
          <w:tcPr>
            <w:tcW w:w="3302" w:type="dxa"/>
            <w:vMerge w:val="continue"/>
            <w:tcBorders>
              <w:top w:val="nil"/>
              <w:left w:val="single" w:color="000000" w:sz="2" w:space="0"/>
              <w:bottom w:val="single" w:color="000000" w:sz="2" w:space="0"/>
              <w:right w:val="nil"/>
            </w:tcBorders>
            <w:vAlign w:val="center"/>
          </w:tcPr>
          <w:p w14:paraId="0A09724D">
            <w:pPr>
              <w:keepNext w:val="0"/>
              <w:keepLines w:val="0"/>
              <w:pageBreakBefore w:val="0"/>
              <w:kinsoku/>
              <w:wordWrap/>
              <w:overflowPunct/>
              <w:topLinePunct w:val="0"/>
              <w:bidi w:val="0"/>
              <w:snapToGrid/>
              <w:ind w:left="0" w:firstLine="480"/>
              <w:jc w:val="center"/>
              <w:textAlignment w:val="auto"/>
              <w:rPr>
                <w:rFonts w:hint="default" w:ascii="Times New Roman" w:hAnsi="Times New Roman" w:eastAsia="仿宋" w:cs="Times New Roman"/>
                <w:snapToGrid w:val="0"/>
                <w:kern w:val="0"/>
                <w:szCs w:val="24"/>
              </w:rPr>
            </w:pPr>
          </w:p>
        </w:tc>
      </w:tr>
      <w:tr w14:paraId="4B7615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872" w:type="dxa"/>
            <w:tcBorders>
              <w:top w:val="single" w:color="000000" w:sz="2" w:space="0"/>
              <w:left w:val="nil"/>
              <w:right w:val="single" w:color="000000" w:sz="2" w:space="0"/>
            </w:tcBorders>
            <w:vAlign w:val="center"/>
          </w:tcPr>
          <w:p w14:paraId="6A07B84D">
            <w:pPr>
              <w:pStyle w:val="45"/>
              <w:keepNext w:val="0"/>
              <w:keepLines w:val="0"/>
              <w:pageBreakBefore w:val="0"/>
              <w:widowControl w:val="0"/>
              <w:kinsoku/>
              <w:wordWrap/>
              <w:overflowPunct/>
              <w:topLinePunct w:val="0"/>
              <w:autoSpaceDE w:val="0"/>
              <w:autoSpaceDN w:val="0"/>
              <w:bidi w:val="0"/>
              <w:adjustRightInd w:val="0"/>
              <w:snapToGrid/>
              <w:spacing w:before="0"/>
              <w:ind w:left="0" w:right="0"/>
              <w:textAlignment w:val="auto"/>
              <w:rPr>
                <w:rFonts w:hint="default" w:ascii="Times New Roman" w:hAnsi="Times New Roman" w:eastAsia="仿宋" w:cs="Times New Roman"/>
                <w:snapToGrid w:val="0"/>
                <w:sz w:val="24"/>
                <w:szCs w:val="24"/>
              </w:rPr>
            </w:pPr>
            <w:r>
              <w:rPr>
                <w:rFonts w:hint="default" w:ascii="Times New Roman" w:hAnsi="Times New Roman" w:eastAsia="仿宋" w:cs="Times New Roman"/>
                <w:snapToGrid w:val="0"/>
                <w:sz w:val="24"/>
                <w:szCs w:val="24"/>
              </w:rPr>
              <w:t>非甲烷</w:t>
            </w:r>
          </w:p>
          <w:p w14:paraId="0160413F">
            <w:pPr>
              <w:pStyle w:val="45"/>
              <w:keepNext w:val="0"/>
              <w:keepLines w:val="0"/>
              <w:pageBreakBefore w:val="0"/>
              <w:widowControl w:val="0"/>
              <w:kinsoku/>
              <w:wordWrap/>
              <w:overflowPunct/>
              <w:topLinePunct w:val="0"/>
              <w:autoSpaceDE w:val="0"/>
              <w:autoSpaceDN w:val="0"/>
              <w:bidi w:val="0"/>
              <w:adjustRightInd w:val="0"/>
              <w:snapToGrid/>
              <w:spacing w:before="0"/>
              <w:ind w:left="0" w:right="0"/>
              <w:textAlignment w:val="auto"/>
              <w:rPr>
                <w:rFonts w:hint="default" w:ascii="Times New Roman" w:hAnsi="Times New Roman" w:eastAsia="仿宋" w:cs="Times New Roman"/>
                <w:snapToGrid w:val="0"/>
                <w:sz w:val="24"/>
                <w:szCs w:val="24"/>
              </w:rPr>
            </w:pPr>
            <w:r>
              <w:rPr>
                <w:rFonts w:hint="default" w:ascii="Times New Roman" w:hAnsi="Times New Roman" w:eastAsia="仿宋" w:cs="Times New Roman"/>
                <w:snapToGrid w:val="0"/>
                <w:sz w:val="24"/>
                <w:szCs w:val="24"/>
              </w:rPr>
              <w:t>总烃</w:t>
            </w:r>
          </w:p>
        </w:tc>
        <w:tc>
          <w:tcPr>
            <w:tcW w:w="1600" w:type="dxa"/>
            <w:tcBorders>
              <w:top w:val="single" w:color="000000" w:sz="2" w:space="0"/>
              <w:left w:val="single" w:color="000000" w:sz="2" w:space="0"/>
              <w:right w:val="single" w:color="000000" w:sz="2" w:space="0"/>
            </w:tcBorders>
            <w:vAlign w:val="center"/>
          </w:tcPr>
          <w:p w14:paraId="35A96724">
            <w:pPr>
              <w:pStyle w:val="45"/>
              <w:keepNext w:val="0"/>
              <w:keepLines w:val="0"/>
              <w:pageBreakBefore w:val="0"/>
              <w:widowControl w:val="0"/>
              <w:kinsoku/>
              <w:wordWrap/>
              <w:overflowPunct/>
              <w:topLinePunct w:val="0"/>
              <w:autoSpaceDE w:val="0"/>
              <w:autoSpaceDN w:val="0"/>
              <w:bidi w:val="0"/>
              <w:adjustRightInd w:val="0"/>
              <w:snapToGrid/>
              <w:spacing w:before="0"/>
              <w:ind w:left="0" w:right="0"/>
              <w:textAlignment w:val="auto"/>
              <w:rPr>
                <w:rFonts w:hint="default" w:ascii="Times New Roman" w:hAnsi="Times New Roman" w:eastAsia="仿宋" w:cs="Times New Roman"/>
                <w:snapToGrid w:val="0"/>
                <w:sz w:val="24"/>
                <w:szCs w:val="24"/>
              </w:rPr>
            </w:pPr>
            <w:r>
              <w:rPr>
                <w:rFonts w:hint="default" w:ascii="Times New Roman" w:hAnsi="Times New Roman" w:eastAsia="仿宋" w:cs="Times New Roman"/>
                <w:snapToGrid w:val="0"/>
                <w:sz w:val="24"/>
                <w:szCs w:val="24"/>
              </w:rPr>
              <w:t>6.0</w:t>
            </w:r>
          </w:p>
        </w:tc>
        <w:tc>
          <w:tcPr>
            <w:tcW w:w="1309" w:type="dxa"/>
            <w:tcBorders>
              <w:top w:val="single" w:color="000000" w:sz="2" w:space="0"/>
              <w:left w:val="single" w:color="000000" w:sz="2" w:space="0"/>
              <w:right w:val="single" w:color="000000" w:sz="2" w:space="0"/>
            </w:tcBorders>
            <w:vAlign w:val="center"/>
          </w:tcPr>
          <w:p w14:paraId="1AB100F7">
            <w:pPr>
              <w:pStyle w:val="45"/>
              <w:keepNext w:val="0"/>
              <w:keepLines w:val="0"/>
              <w:pageBreakBefore w:val="0"/>
              <w:widowControl w:val="0"/>
              <w:kinsoku/>
              <w:wordWrap/>
              <w:overflowPunct/>
              <w:topLinePunct w:val="0"/>
              <w:autoSpaceDE w:val="0"/>
              <w:autoSpaceDN w:val="0"/>
              <w:bidi w:val="0"/>
              <w:adjustRightInd w:val="0"/>
              <w:snapToGrid/>
              <w:spacing w:before="0"/>
              <w:ind w:left="0" w:right="0"/>
              <w:textAlignment w:val="auto"/>
              <w:rPr>
                <w:rFonts w:hint="default" w:ascii="Times New Roman" w:hAnsi="Times New Roman" w:eastAsia="仿宋" w:cs="Times New Roman"/>
                <w:snapToGrid w:val="0"/>
                <w:sz w:val="24"/>
                <w:szCs w:val="24"/>
              </w:rPr>
            </w:pPr>
            <w:r>
              <w:rPr>
                <w:rFonts w:hint="default" w:ascii="Times New Roman" w:hAnsi="Times New Roman" w:eastAsia="仿宋" w:cs="Times New Roman"/>
                <w:snapToGrid w:val="0"/>
                <w:sz w:val="24"/>
                <w:szCs w:val="24"/>
              </w:rPr>
              <w:t>20</w:t>
            </w:r>
          </w:p>
        </w:tc>
        <w:tc>
          <w:tcPr>
            <w:tcW w:w="1439" w:type="dxa"/>
            <w:tcBorders>
              <w:top w:val="single" w:color="000000" w:sz="2" w:space="0"/>
              <w:left w:val="single" w:color="000000" w:sz="2" w:space="0"/>
              <w:right w:val="single" w:color="000000" w:sz="2" w:space="0"/>
            </w:tcBorders>
            <w:vAlign w:val="center"/>
          </w:tcPr>
          <w:p w14:paraId="3D5A3C09">
            <w:pPr>
              <w:pStyle w:val="45"/>
              <w:keepNext w:val="0"/>
              <w:keepLines w:val="0"/>
              <w:pageBreakBefore w:val="0"/>
              <w:widowControl w:val="0"/>
              <w:kinsoku/>
              <w:wordWrap/>
              <w:overflowPunct/>
              <w:topLinePunct w:val="0"/>
              <w:autoSpaceDE w:val="0"/>
              <w:autoSpaceDN w:val="0"/>
              <w:bidi w:val="0"/>
              <w:adjustRightInd w:val="0"/>
              <w:snapToGrid/>
              <w:spacing w:before="0"/>
              <w:ind w:left="0" w:right="0"/>
              <w:textAlignment w:val="auto"/>
              <w:rPr>
                <w:rFonts w:hint="default" w:ascii="Times New Roman" w:hAnsi="Times New Roman" w:eastAsia="仿宋" w:cs="Times New Roman"/>
                <w:snapToGrid w:val="0"/>
                <w:sz w:val="24"/>
                <w:szCs w:val="24"/>
              </w:rPr>
            </w:pPr>
            <w:r>
              <w:rPr>
                <w:rFonts w:hint="default" w:ascii="Times New Roman" w:hAnsi="Times New Roman" w:eastAsia="仿宋" w:cs="Times New Roman"/>
                <w:snapToGrid w:val="0"/>
                <w:sz w:val="24"/>
                <w:szCs w:val="24"/>
              </w:rPr>
              <w:t>在厂房外设置监控点</w:t>
            </w:r>
          </w:p>
        </w:tc>
        <w:tc>
          <w:tcPr>
            <w:tcW w:w="3302" w:type="dxa"/>
            <w:tcBorders>
              <w:top w:val="single" w:color="000000" w:sz="2" w:space="0"/>
              <w:left w:val="single" w:color="000000" w:sz="2" w:space="0"/>
              <w:right w:val="nil"/>
            </w:tcBorders>
            <w:vAlign w:val="center"/>
          </w:tcPr>
          <w:p w14:paraId="291B26ED">
            <w:pPr>
              <w:pStyle w:val="45"/>
              <w:keepNext w:val="0"/>
              <w:keepLines w:val="0"/>
              <w:pageBreakBefore w:val="0"/>
              <w:widowControl w:val="0"/>
              <w:kinsoku/>
              <w:wordWrap/>
              <w:overflowPunct/>
              <w:topLinePunct w:val="0"/>
              <w:autoSpaceDE w:val="0"/>
              <w:autoSpaceDN w:val="0"/>
              <w:bidi w:val="0"/>
              <w:adjustRightInd w:val="0"/>
              <w:snapToGrid/>
              <w:spacing w:before="0"/>
              <w:ind w:left="0" w:right="0"/>
              <w:textAlignment w:val="auto"/>
              <w:rPr>
                <w:rFonts w:hint="default" w:ascii="Times New Roman" w:hAnsi="Times New Roman" w:eastAsia="仿宋" w:cs="Times New Roman"/>
                <w:snapToGrid w:val="0"/>
                <w:sz w:val="24"/>
                <w:szCs w:val="24"/>
              </w:rPr>
            </w:pPr>
            <w:r>
              <w:rPr>
                <w:rFonts w:hint="default" w:ascii="Times New Roman" w:hAnsi="Times New Roman" w:eastAsia="仿宋" w:cs="Times New Roman"/>
                <w:snapToGrid w:val="0"/>
                <w:sz w:val="24"/>
                <w:szCs w:val="24"/>
              </w:rPr>
              <w:t>《挥发性有机物无组织排放控制标准》（GB37822-2019）表 A.1</w:t>
            </w:r>
          </w:p>
        </w:tc>
      </w:tr>
    </w:tbl>
    <w:p w14:paraId="2B91B32C">
      <w:pPr>
        <w:pStyle w:val="3"/>
        <w:spacing w:before="120" w:after="120"/>
        <w:ind w:firstLine="0" w:firstLineChars="0"/>
        <w:rPr>
          <w:rFonts w:hint="default" w:ascii="Times New Roman" w:hAnsi="Times New Roman" w:cs="Times New Roman"/>
          <w:color w:val="000000"/>
        </w:rPr>
      </w:pPr>
      <w:bookmarkStart w:id="91" w:name="_Toc31542"/>
      <w:bookmarkStart w:id="92" w:name="_Toc31837"/>
      <w:r>
        <w:rPr>
          <w:rFonts w:hint="default" w:ascii="Times New Roman" w:hAnsi="Times New Roman" w:cs="Times New Roman"/>
          <w:color w:val="000000"/>
        </w:rPr>
        <w:t>6.3 噪声</w:t>
      </w:r>
      <w:bookmarkEnd w:id="91"/>
      <w:bookmarkEnd w:id="92"/>
    </w:p>
    <w:p w14:paraId="5F159A82">
      <w:pPr>
        <w:spacing w:line="360" w:lineRule="auto"/>
        <w:ind w:firstLine="560"/>
        <w:jc w:val="left"/>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厂界噪声执行《工业企业厂界环境噪声排放标准》（GB12348-2008）表1中的3类功能区标准，即昼间≤65dB(A)，夜间≤55dB(A)。</w:t>
      </w:r>
    </w:p>
    <w:p w14:paraId="53039604">
      <w:pPr>
        <w:pStyle w:val="3"/>
        <w:spacing w:before="120" w:after="120"/>
        <w:ind w:firstLine="0" w:firstLineChars="0"/>
        <w:rPr>
          <w:rFonts w:hint="default" w:ascii="Times New Roman" w:hAnsi="Times New Roman" w:cs="Times New Roman"/>
          <w:color w:val="000000"/>
        </w:rPr>
      </w:pPr>
      <w:bookmarkStart w:id="93" w:name="_Toc21664"/>
      <w:bookmarkStart w:id="94" w:name="_Toc32143"/>
      <w:r>
        <w:rPr>
          <w:rFonts w:hint="default" w:ascii="Times New Roman" w:hAnsi="Times New Roman" w:cs="Times New Roman"/>
          <w:color w:val="000000"/>
        </w:rPr>
        <w:t>6.4 固废</w:t>
      </w:r>
      <w:bookmarkEnd w:id="93"/>
      <w:bookmarkEnd w:id="94"/>
    </w:p>
    <w:p w14:paraId="02383E72">
      <w:pPr>
        <w:pStyle w:val="11"/>
        <w:spacing w:after="0" w:line="360" w:lineRule="auto"/>
        <w:ind w:left="0" w:leftChars="0" w:firstLine="560"/>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一般固废在厂内贮存时，执行《一般工业固体废物贮存、处置场污染控制标准》（</w:t>
      </w:r>
      <w:bookmarkStart w:id="95" w:name="_Hlk156415598"/>
      <w:r>
        <w:rPr>
          <w:rFonts w:hint="default" w:ascii="Times New Roman" w:hAnsi="Times New Roman" w:eastAsia="仿宋" w:cs="Times New Roman"/>
          <w:color w:val="000000" w:themeColor="text1"/>
          <w:sz w:val="28"/>
          <w:szCs w:val="28"/>
          <w14:textFill>
            <w14:solidFill>
              <w14:schemeClr w14:val="tx1"/>
            </w14:solidFill>
          </w14:textFill>
        </w:rPr>
        <w:t>GB</w:t>
      </w:r>
      <w:r>
        <w:rPr>
          <w:rFonts w:hint="default" w:ascii="Times New Roman" w:hAnsi="Times New Roman" w:eastAsia="仿宋" w:cs="Times New Roman"/>
          <w:color w:val="000000" w:themeColor="text1"/>
          <w:sz w:val="28"/>
          <w:szCs w:val="28"/>
          <w:highlight w:val="none"/>
          <w14:textFill>
            <w14:solidFill>
              <w14:schemeClr w14:val="tx1"/>
            </w14:solidFill>
          </w14:textFill>
        </w:rPr>
        <w:t>18599-20</w:t>
      </w:r>
      <w:bookmarkEnd w:id="95"/>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仿宋" w:cs="Times New Roman"/>
          <w:color w:val="000000" w:themeColor="text1"/>
          <w:sz w:val="28"/>
          <w:szCs w:val="28"/>
          <w:highlight w:val="none"/>
          <w14:textFill>
            <w14:solidFill>
              <w14:schemeClr w14:val="tx1"/>
            </w14:solidFill>
          </w14:textFill>
        </w:rPr>
        <w:t>）</w:t>
      </w:r>
      <w:r>
        <w:rPr>
          <w:rFonts w:hint="default" w:ascii="Times New Roman" w:hAnsi="Times New Roman" w:eastAsia="仿宋" w:cs="Times New Roman"/>
          <w:color w:val="000000" w:themeColor="text1"/>
          <w:sz w:val="28"/>
          <w:szCs w:val="28"/>
          <w14:textFill>
            <w14:solidFill>
              <w14:schemeClr w14:val="tx1"/>
            </w14:solidFill>
          </w14:textFill>
        </w:rPr>
        <w:t>中相关规定。危险固废在厂内贮存时，执行《危险废物贮存污染控制标准》（GB18597-2023）、</w:t>
      </w:r>
      <w:bookmarkStart w:id="96" w:name="OLE_LINK13"/>
      <w:r>
        <w:rPr>
          <w:rFonts w:hint="default" w:ascii="Times New Roman" w:hAnsi="Times New Roman" w:eastAsia="仿宋" w:cs="Times New Roman"/>
          <w:color w:val="000000" w:themeColor="text1"/>
          <w:sz w:val="28"/>
          <w:szCs w:val="28"/>
          <w14:textFill>
            <w14:solidFill>
              <w14:schemeClr w14:val="tx1"/>
            </w14:solidFill>
          </w14:textFill>
        </w:rPr>
        <w:t>《江苏省固体废物全过程环境监管工作意见》(苏环办[2024]16号)</w:t>
      </w:r>
      <w:bookmarkEnd w:id="96"/>
      <w:r>
        <w:rPr>
          <w:rFonts w:hint="default" w:ascii="Times New Roman" w:hAnsi="Times New Roman" w:eastAsia="仿宋" w:cs="Times New Roman"/>
          <w:color w:val="000000" w:themeColor="text1"/>
          <w:sz w:val="28"/>
          <w:szCs w:val="28"/>
          <w14:textFill>
            <w14:solidFill>
              <w14:schemeClr w14:val="tx1"/>
            </w14:solidFill>
          </w14:textFill>
        </w:rPr>
        <w:t>及规划建设、应急管理、消防等</w:t>
      </w:r>
      <w:r>
        <w:rPr>
          <w:rFonts w:hint="default" w:ascii="Times New Roman" w:hAnsi="Times New Roman" w:eastAsia="仿宋" w:cs="Times New Roman"/>
          <w:color w:val="000000" w:themeColor="text1"/>
          <w:sz w:val="28"/>
          <w:szCs w:val="28"/>
          <w:highlight w:val="none"/>
          <w14:textFill>
            <w14:solidFill>
              <w14:schemeClr w14:val="tx1"/>
            </w14:solidFill>
          </w14:textFill>
        </w:rPr>
        <w:t>相关规定。</w:t>
      </w:r>
    </w:p>
    <w:p w14:paraId="77914245">
      <w:pPr>
        <w:pStyle w:val="3"/>
        <w:spacing w:before="120" w:after="120"/>
        <w:ind w:firstLine="0" w:firstLineChars="0"/>
        <w:rPr>
          <w:rFonts w:hint="default" w:ascii="Times New Roman" w:hAnsi="Times New Roman" w:cs="Times New Roman"/>
          <w:color w:val="000000"/>
        </w:rPr>
      </w:pPr>
      <w:bookmarkStart w:id="97" w:name="_Toc520410265"/>
      <w:bookmarkStart w:id="98" w:name="_Toc17109"/>
      <w:bookmarkStart w:id="99" w:name="_Toc3579"/>
      <w:r>
        <w:rPr>
          <w:rFonts w:hint="default" w:ascii="Times New Roman" w:hAnsi="Times New Roman" w:cs="Times New Roman"/>
          <w:color w:val="000000"/>
        </w:rPr>
        <w:t>6.5 总量控制指标</w:t>
      </w:r>
      <w:bookmarkEnd w:id="97"/>
      <w:bookmarkEnd w:id="98"/>
      <w:bookmarkEnd w:id="99"/>
    </w:p>
    <w:p w14:paraId="308EADA5">
      <w:pPr>
        <w:spacing w:line="360" w:lineRule="auto"/>
        <w:ind w:firstLine="560"/>
        <w:rPr>
          <w:rFonts w:hint="default" w:ascii="Times New Roman" w:hAnsi="Times New Roman" w:eastAsia="仿宋" w:cs="Times New Roman"/>
          <w:snapToGrid w:val="0"/>
          <w:color w:val="000000" w:themeColor="text1"/>
          <w:kern w:val="0"/>
          <w:sz w:val="28"/>
          <w:szCs w:val="28"/>
          <w14:textFill>
            <w14:solidFill>
              <w14:schemeClr w14:val="tx1"/>
            </w14:solidFill>
          </w14:textFill>
        </w:rPr>
      </w:pPr>
      <w:r>
        <w:rPr>
          <w:rFonts w:hint="default" w:ascii="Times New Roman" w:hAnsi="Times New Roman" w:eastAsia="仿宋" w:cs="Times New Roman"/>
          <w:snapToGrid w:val="0"/>
          <w:color w:val="000000" w:themeColor="text1"/>
          <w:kern w:val="0"/>
          <w:sz w:val="28"/>
          <w:szCs w:val="28"/>
          <w14:textFill>
            <w14:solidFill>
              <w14:schemeClr w14:val="tx1"/>
            </w14:solidFill>
          </w14:textFill>
        </w:rPr>
        <w:t>根据《</w:t>
      </w:r>
      <w:r>
        <w:rPr>
          <w:rFonts w:hint="default" w:ascii="Times New Roman" w:hAnsi="Times New Roman" w:eastAsia="仿宋" w:cs="Times New Roman"/>
          <w:snapToGrid w:val="0"/>
          <w:color w:val="000000" w:themeColor="text1"/>
          <w:kern w:val="0"/>
          <w:sz w:val="28"/>
          <w:szCs w:val="28"/>
          <w:lang w:val="en-US" w:eastAsia="zh-CN"/>
          <w14:textFill>
            <w14:solidFill>
              <w14:schemeClr w14:val="tx1"/>
            </w14:solidFill>
          </w14:textFill>
        </w:rPr>
        <w:t>江</w:t>
      </w:r>
      <w:r>
        <w:rPr>
          <w:rFonts w:hint="default" w:ascii="Times New Roman" w:hAnsi="Times New Roman" w:eastAsia="仿宋" w:cs="Times New Roman"/>
          <w:snapToGrid w:val="0"/>
          <w:color w:val="000000" w:themeColor="text1"/>
          <w:kern w:val="0"/>
          <w:sz w:val="28"/>
          <w:szCs w:val="28"/>
          <w14:textFill>
            <w14:solidFill>
              <w14:schemeClr w14:val="tx1"/>
            </w14:solidFill>
          </w14:textFill>
        </w:rPr>
        <w:t>苏九州星际新材料有限公司20000吨/年超高分子量聚乙烯纤维项目环境影响报告书批复》，九州星际总量控制指标见表6.5-1。</w:t>
      </w:r>
    </w:p>
    <w:p w14:paraId="771BA1A8">
      <w:pPr>
        <w:spacing w:after="163" w:afterLines="50"/>
        <w:ind w:firstLine="0" w:firstLineChars="0"/>
        <w:jc w:val="center"/>
        <w:rPr>
          <w:rFonts w:hint="default" w:ascii="Times New Roman" w:hAnsi="Times New Roman" w:eastAsia="仿宋" w:cs="Times New Roman"/>
          <w:b/>
          <w:color w:val="000000" w:themeColor="text1"/>
          <w:sz w:val="28"/>
          <w14:textFill>
            <w14:solidFill>
              <w14:schemeClr w14:val="tx1"/>
            </w14:solidFill>
          </w14:textFill>
        </w:rPr>
      </w:pPr>
      <w:r>
        <w:rPr>
          <w:rFonts w:hint="default" w:ascii="Times New Roman" w:hAnsi="Times New Roman" w:eastAsia="仿宋" w:cs="Times New Roman"/>
          <w:b/>
          <w:color w:val="000000" w:themeColor="text1"/>
          <w:sz w:val="28"/>
          <w14:textFill>
            <w14:solidFill>
              <w14:schemeClr w14:val="tx1"/>
            </w14:solidFill>
          </w14:textFill>
        </w:rPr>
        <w:t xml:space="preserve">表6.5-1  </w:t>
      </w:r>
      <w:r>
        <w:rPr>
          <w:rFonts w:hint="default" w:ascii="Times New Roman" w:hAnsi="Times New Roman" w:eastAsia="仿宋" w:cs="Times New Roman"/>
          <w:b/>
          <w:color w:val="000000" w:themeColor="text1"/>
          <w:sz w:val="28"/>
          <w:lang w:val="en-US" w:eastAsia="zh-CN"/>
          <w14:textFill>
            <w14:solidFill>
              <w14:schemeClr w14:val="tx1"/>
            </w14:solidFill>
          </w14:textFill>
        </w:rPr>
        <w:t>本项目</w:t>
      </w:r>
      <w:r>
        <w:rPr>
          <w:rFonts w:hint="default" w:ascii="Times New Roman" w:hAnsi="Times New Roman" w:eastAsia="仿宋" w:cs="Times New Roman"/>
          <w:b/>
          <w:color w:val="000000" w:themeColor="text1"/>
          <w:sz w:val="28"/>
          <w14:textFill>
            <w14:solidFill>
              <w14:schemeClr w14:val="tx1"/>
            </w14:solidFill>
          </w14:textFill>
        </w:rPr>
        <w:t>总量控制指标</w:t>
      </w:r>
    </w:p>
    <w:tbl>
      <w:tblPr>
        <w:tblStyle w:val="25"/>
        <w:tblpPr w:leftFromText="180" w:rightFromText="180" w:vertAnchor="text" w:horzAnchor="page" w:tblpX="1865" w:tblpY="228"/>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2076"/>
        <w:gridCol w:w="2436"/>
        <w:gridCol w:w="2910"/>
      </w:tblGrid>
      <w:tr w14:paraId="09607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1" w:type="dxa"/>
            <w:tcBorders>
              <w:top w:val="single" w:color="auto" w:sz="12" w:space="0"/>
              <w:left w:val="nil"/>
              <w:bottom w:val="single" w:color="auto" w:sz="4" w:space="0"/>
              <w:right w:val="single" w:color="auto" w:sz="4" w:space="0"/>
            </w:tcBorders>
            <w:vAlign w:val="center"/>
          </w:tcPr>
          <w:p w14:paraId="4B234CFB">
            <w:pPr>
              <w:spacing w:line="240" w:lineRule="auto"/>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类别</w:t>
            </w:r>
          </w:p>
        </w:tc>
        <w:tc>
          <w:tcPr>
            <w:tcW w:w="2078" w:type="dxa"/>
            <w:tcBorders>
              <w:top w:val="single" w:color="auto" w:sz="12" w:space="0"/>
              <w:left w:val="single" w:color="auto" w:sz="4" w:space="0"/>
              <w:bottom w:val="single" w:color="auto" w:sz="4" w:space="0"/>
              <w:right w:val="single" w:color="auto" w:sz="4" w:space="0"/>
            </w:tcBorders>
            <w:vAlign w:val="center"/>
          </w:tcPr>
          <w:p w14:paraId="33379624">
            <w:pPr>
              <w:spacing w:line="240" w:lineRule="auto"/>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污染物</w:t>
            </w:r>
          </w:p>
        </w:tc>
        <w:tc>
          <w:tcPr>
            <w:tcW w:w="2438" w:type="dxa"/>
            <w:tcBorders>
              <w:top w:val="single" w:color="auto" w:sz="12" w:space="0"/>
              <w:left w:val="single" w:color="auto" w:sz="4" w:space="0"/>
              <w:bottom w:val="single" w:color="auto" w:sz="4" w:space="0"/>
              <w:right w:val="nil"/>
            </w:tcBorders>
            <w:vAlign w:val="center"/>
          </w:tcPr>
          <w:p w14:paraId="29ABA408">
            <w:pPr>
              <w:spacing w:line="240" w:lineRule="auto"/>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仿宋" w:cs="Times New Roman"/>
                <w:color w:val="000000" w:themeColor="text1"/>
                <w:sz w:val="24"/>
                <w:szCs w:val="24"/>
                <w14:textFill>
                  <w14:solidFill>
                    <w14:schemeClr w14:val="tx1"/>
                  </w14:solidFill>
                </w14:textFill>
              </w:rPr>
              <w:t>总量控制指标（t/a）</w:t>
            </w:r>
          </w:p>
        </w:tc>
        <w:tc>
          <w:tcPr>
            <w:tcW w:w="2912" w:type="dxa"/>
            <w:vAlign w:val="center"/>
          </w:tcPr>
          <w:p w14:paraId="1E7F88F5">
            <w:pPr>
              <w:spacing w:line="240" w:lineRule="auto"/>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本期验收项目</w:t>
            </w:r>
          </w:p>
          <w:p w14:paraId="7B2600CA">
            <w:pPr>
              <w:spacing w:line="240" w:lineRule="auto"/>
              <w:ind w:firstLine="0" w:firstLineChars="0"/>
              <w:jc w:val="center"/>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总量控制指标（t/a）</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w:t>
            </w:r>
          </w:p>
        </w:tc>
      </w:tr>
      <w:tr w14:paraId="440CCA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1" w:type="dxa"/>
            <w:vMerge w:val="restart"/>
            <w:tcBorders>
              <w:top w:val="single" w:color="auto" w:sz="4" w:space="0"/>
              <w:left w:val="nil"/>
              <w:right w:val="single" w:color="auto" w:sz="4" w:space="0"/>
            </w:tcBorders>
            <w:vAlign w:val="center"/>
          </w:tcPr>
          <w:p w14:paraId="450D88BD">
            <w:pPr>
              <w:spacing w:line="240" w:lineRule="auto"/>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废水</w:t>
            </w:r>
          </w:p>
        </w:tc>
        <w:tc>
          <w:tcPr>
            <w:tcW w:w="2078" w:type="dxa"/>
            <w:tcBorders>
              <w:top w:val="single" w:color="auto" w:sz="4" w:space="0"/>
              <w:left w:val="single" w:color="auto" w:sz="4" w:space="0"/>
              <w:bottom w:val="single" w:color="auto" w:sz="4" w:space="0"/>
              <w:right w:val="single" w:color="auto" w:sz="4" w:space="0"/>
            </w:tcBorders>
            <w:vAlign w:val="center"/>
          </w:tcPr>
          <w:p w14:paraId="2912FF05">
            <w:pPr>
              <w:widowControl/>
              <w:spacing w:line="240" w:lineRule="auto"/>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废水量</w:t>
            </w:r>
          </w:p>
        </w:tc>
        <w:tc>
          <w:tcPr>
            <w:tcW w:w="2438" w:type="dxa"/>
            <w:tcBorders>
              <w:top w:val="single" w:color="auto" w:sz="4" w:space="0"/>
              <w:left w:val="single" w:color="auto" w:sz="4" w:space="0"/>
              <w:bottom w:val="single" w:color="auto" w:sz="4" w:space="0"/>
              <w:right w:val="nil"/>
            </w:tcBorders>
            <w:vAlign w:val="bottom"/>
          </w:tcPr>
          <w:p w14:paraId="6E3A32CF">
            <w:pPr>
              <w:widowControl/>
              <w:spacing w:line="240" w:lineRule="auto"/>
              <w:ind w:firstLine="0" w:firstLineChars="0"/>
              <w:jc w:val="center"/>
              <w:textAlignment w:val="bottom"/>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144677.83</w:t>
            </w:r>
          </w:p>
        </w:tc>
        <w:tc>
          <w:tcPr>
            <w:tcW w:w="2912" w:type="dxa"/>
            <w:vAlign w:val="bottom"/>
          </w:tcPr>
          <w:p w14:paraId="2D95CF4F">
            <w:pPr>
              <w:widowControl/>
              <w:spacing w:line="240" w:lineRule="auto"/>
              <w:ind w:firstLine="0" w:firstLineChars="0"/>
              <w:jc w:val="center"/>
              <w:textAlignment w:val="bottom"/>
              <w:rPr>
                <w:rFonts w:hint="default" w:ascii="Times New Roman" w:hAnsi="Times New Roman" w:eastAsia="仿宋" w:cs="Times New Roman"/>
                <w:color w:val="000000" w:themeColor="text1"/>
                <w:sz w:val="24"/>
                <w:szCs w:val="24"/>
                <w:lang w:val="en-US"/>
                <w14:textFill>
                  <w14:solidFill>
                    <w14:schemeClr w14:val="tx1"/>
                  </w14:solidFill>
                </w14:textFill>
              </w:rPr>
            </w:pPr>
            <w:r>
              <w:rPr>
                <w:rFonts w:hint="default" w:ascii="Times New Roman" w:hAnsi="Times New Roman" w:eastAsia="仿宋" w:cs="Times New Roman"/>
                <w:color w:val="000000"/>
                <w:kern w:val="0"/>
                <w:sz w:val="24"/>
                <w:szCs w:val="24"/>
                <w:lang w:val="en-US" w:eastAsia="zh-CN" w:bidi="ar"/>
              </w:rPr>
              <w:t>82408</w:t>
            </w:r>
          </w:p>
        </w:tc>
      </w:tr>
      <w:tr w14:paraId="4A235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1" w:type="dxa"/>
            <w:vMerge w:val="continue"/>
            <w:tcBorders>
              <w:left w:val="nil"/>
              <w:right w:val="single" w:color="auto" w:sz="4" w:space="0"/>
            </w:tcBorders>
            <w:vAlign w:val="center"/>
          </w:tcPr>
          <w:p w14:paraId="36DECF0F">
            <w:pPr>
              <w:spacing w:line="240" w:lineRule="auto"/>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2078" w:type="dxa"/>
            <w:tcBorders>
              <w:top w:val="single" w:color="auto" w:sz="4" w:space="0"/>
              <w:left w:val="single" w:color="auto" w:sz="4" w:space="0"/>
              <w:bottom w:val="single" w:color="auto" w:sz="4" w:space="0"/>
              <w:right w:val="single" w:color="auto" w:sz="4" w:space="0"/>
            </w:tcBorders>
            <w:vAlign w:val="center"/>
          </w:tcPr>
          <w:p w14:paraId="26F92C7B">
            <w:pPr>
              <w:spacing w:line="240" w:lineRule="auto"/>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COD</w:t>
            </w:r>
          </w:p>
        </w:tc>
        <w:tc>
          <w:tcPr>
            <w:tcW w:w="2438" w:type="dxa"/>
            <w:tcBorders>
              <w:top w:val="single" w:color="auto" w:sz="4" w:space="0"/>
              <w:left w:val="single" w:color="auto" w:sz="4" w:space="0"/>
              <w:bottom w:val="single" w:color="auto" w:sz="4" w:space="0"/>
              <w:right w:val="nil"/>
            </w:tcBorders>
            <w:vAlign w:val="bottom"/>
          </w:tcPr>
          <w:p w14:paraId="141B612E">
            <w:pPr>
              <w:widowControl/>
              <w:spacing w:line="240" w:lineRule="auto"/>
              <w:ind w:firstLine="0" w:firstLineChars="0"/>
              <w:jc w:val="center"/>
              <w:textAlignment w:val="bottom"/>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13.3104</w:t>
            </w:r>
          </w:p>
        </w:tc>
        <w:tc>
          <w:tcPr>
            <w:tcW w:w="2912" w:type="dxa"/>
            <w:vAlign w:val="bottom"/>
          </w:tcPr>
          <w:p w14:paraId="53A182D5">
            <w:pPr>
              <w:widowControl/>
              <w:spacing w:line="240" w:lineRule="auto"/>
              <w:ind w:firstLine="0" w:firstLineChars="0"/>
              <w:jc w:val="center"/>
              <w:textAlignment w:val="bottom"/>
              <w:rPr>
                <w:rFonts w:hint="default" w:ascii="Times New Roman" w:hAnsi="Times New Roman" w:eastAsia="仿宋" w:cs="Times New Roman"/>
                <w:color w:val="000000" w:themeColor="text1"/>
                <w:sz w:val="24"/>
                <w:szCs w:val="24"/>
                <w:lang w:val="en-US"/>
                <w14:textFill>
                  <w14:solidFill>
                    <w14:schemeClr w14:val="tx1"/>
                  </w14:solidFill>
                </w14:textFill>
              </w:rPr>
            </w:pPr>
            <w:r>
              <w:rPr>
                <w:rFonts w:hint="default" w:ascii="Times New Roman" w:hAnsi="Times New Roman" w:eastAsia="仿宋" w:cs="Times New Roman"/>
                <w:color w:val="000000"/>
                <w:kern w:val="0"/>
                <w:sz w:val="24"/>
                <w:szCs w:val="24"/>
                <w:lang w:val="en-US" w:eastAsia="zh-CN" w:bidi="ar"/>
              </w:rPr>
              <w:t>7.5816</w:t>
            </w:r>
          </w:p>
        </w:tc>
      </w:tr>
      <w:tr w14:paraId="0D17B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1" w:type="dxa"/>
            <w:vMerge w:val="continue"/>
            <w:tcBorders>
              <w:left w:val="nil"/>
              <w:right w:val="single" w:color="auto" w:sz="4" w:space="0"/>
            </w:tcBorders>
            <w:vAlign w:val="center"/>
          </w:tcPr>
          <w:p w14:paraId="4CB34EA8">
            <w:pPr>
              <w:spacing w:line="240" w:lineRule="auto"/>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2078" w:type="dxa"/>
            <w:tcBorders>
              <w:top w:val="single" w:color="auto" w:sz="4" w:space="0"/>
              <w:left w:val="single" w:color="auto" w:sz="4" w:space="0"/>
              <w:bottom w:val="single" w:color="auto" w:sz="4" w:space="0"/>
              <w:right w:val="single" w:color="auto" w:sz="4" w:space="0"/>
            </w:tcBorders>
            <w:vAlign w:val="center"/>
          </w:tcPr>
          <w:p w14:paraId="232EF887">
            <w:pPr>
              <w:spacing w:line="240" w:lineRule="auto"/>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氨氮</w:t>
            </w:r>
          </w:p>
        </w:tc>
        <w:tc>
          <w:tcPr>
            <w:tcW w:w="2438" w:type="dxa"/>
            <w:tcBorders>
              <w:top w:val="single" w:color="auto" w:sz="4" w:space="0"/>
              <w:left w:val="single" w:color="auto" w:sz="4" w:space="0"/>
              <w:bottom w:val="single" w:color="auto" w:sz="4" w:space="0"/>
              <w:right w:val="nil"/>
            </w:tcBorders>
            <w:vAlign w:val="bottom"/>
          </w:tcPr>
          <w:p w14:paraId="05085DB0">
            <w:pPr>
              <w:widowControl/>
              <w:spacing w:line="240" w:lineRule="auto"/>
              <w:ind w:firstLine="0" w:firstLineChars="0"/>
              <w:jc w:val="center"/>
              <w:textAlignment w:val="bottom"/>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1.736</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1</w:t>
            </w:r>
          </w:p>
        </w:tc>
        <w:tc>
          <w:tcPr>
            <w:tcW w:w="2912" w:type="dxa"/>
            <w:vAlign w:val="bottom"/>
          </w:tcPr>
          <w:p w14:paraId="6713DA59">
            <w:pPr>
              <w:widowControl/>
              <w:spacing w:line="240" w:lineRule="auto"/>
              <w:ind w:firstLine="0" w:firstLineChars="0"/>
              <w:jc w:val="center"/>
              <w:textAlignment w:val="bottom"/>
              <w:rPr>
                <w:rFonts w:hint="default" w:ascii="Times New Roman" w:hAnsi="Times New Roman" w:eastAsia="仿宋" w:cs="Times New Roman"/>
                <w:color w:val="000000" w:themeColor="text1"/>
                <w:sz w:val="24"/>
                <w:szCs w:val="24"/>
                <w:lang w:val="en-US"/>
                <w14:textFill>
                  <w14:solidFill>
                    <w14:schemeClr w14:val="tx1"/>
                  </w14:solidFill>
                </w14:textFill>
              </w:rPr>
            </w:pPr>
            <w:r>
              <w:rPr>
                <w:rFonts w:hint="default" w:ascii="Times New Roman" w:hAnsi="Times New Roman" w:eastAsia="仿宋" w:cs="Times New Roman"/>
                <w:color w:val="000000"/>
                <w:kern w:val="0"/>
                <w:sz w:val="24"/>
                <w:szCs w:val="24"/>
                <w:lang w:val="en-US" w:eastAsia="zh-CN" w:bidi="ar"/>
              </w:rPr>
              <w:t>0.9889</w:t>
            </w:r>
          </w:p>
        </w:tc>
      </w:tr>
      <w:tr w14:paraId="6EC0E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1" w:type="dxa"/>
            <w:vMerge w:val="continue"/>
            <w:tcBorders>
              <w:left w:val="nil"/>
              <w:right w:val="single" w:color="auto" w:sz="4" w:space="0"/>
            </w:tcBorders>
            <w:vAlign w:val="center"/>
          </w:tcPr>
          <w:p w14:paraId="52112321">
            <w:pPr>
              <w:spacing w:line="240" w:lineRule="auto"/>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2078" w:type="dxa"/>
            <w:tcBorders>
              <w:top w:val="single" w:color="auto" w:sz="4" w:space="0"/>
              <w:left w:val="single" w:color="auto" w:sz="4" w:space="0"/>
              <w:bottom w:val="single" w:color="auto" w:sz="4" w:space="0"/>
              <w:right w:val="single" w:color="auto" w:sz="4" w:space="0"/>
            </w:tcBorders>
            <w:vAlign w:val="center"/>
          </w:tcPr>
          <w:p w14:paraId="252044BB">
            <w:pPr>
              <w:spacing w:line="240" w:lineRule="auto"/>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总氮</w:t>
            </w:r>
          </w:p>
        </w:tc>
        <w:tc>
          <w:tcPr>
            <w:tcW w:w="2438" w:type="dxa"/>
            <w:tcBorders>
              <w:top w:val="single" w:color="auto" w:sz="4" w:space="0"/>
              <w:left w:val="single" w:color="auto" w:sz="4" w:space="0"/>
              <w:bottom w:val="single" w:color="auto" w:sz="4" w:space="0"/>
              <w:right w:val="nil"/>
            </w:tcBorders>
            <w:vAlign w:val="bottom"/>
          </w:tcPr>
          <w:p w14:paraId="7E870BFB">
            <w:pPr>
              <w:widowControl/>
              <w:spacing w:line="240" w:lineRule="auto"/>
              <w:ind w:firstLine="0" w:firstLineChars="0"/>
              <w:jc w:val="center"/>
              <w:textAlignment w:val="bottom"/>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3.0382</w:t>
            </w:r>
          </w:p>
        </w:tc>
        <w:tc>
          <w:tcPr>
            <w:tcW w:w="2912" w:type="dxa"/>
            <w:vAlign w:val="bottom"/>
          </w:tcPr>
          <w:p w14:paraId="1245095C">
            <w:pPr>
              <w:widowControl/>
              <w:spacing w:line="240" w:lineRule="auto"/>
              <w:ind w:firstLine="0" w:firstLineChars="0"/>
              <w:jc w:val="center"/>
              <w:textAlignment w:val="bottom"/>
              <w:rPr>
                <w:rFonts w:hint="default" w:ascii="Times New Roman" w:hAnsi="Times New Roman" w:eastAsia="仿宋" w:cs="Times New Roman"/>
                <w:color w:val="000000" w:themeColor="text1"/>
                <w:sz w:val="24"/>
                <w:szCs w:val="24"/>
                <w:lang w:val="en-US"/>
                <w14:textFill>
                  <w14:solidFill>
                    <w14:schemeClr w14:val="tx1"/>
                  </w14:solidFill>
                </w14:textFill>
              </w:rPr>
            </w:pPr>
            <w:r>
              <w:rPr>
                <w:rFonts w:hint="default" w:ascii="Times New Roman" w:hAnsi="Times New Roman" w:eastAsia="仿宋" w:cs="Times New Roman"/>
                <w:color w:val="000000"/>
                <w:kern w:val="0"/>
                <w:sz w:val="24"/>
                <w:szCs w:val="24"/>
                <w:lang w:val="en-US" w:eastAsia="zh-CN" w:bidi="ar"/>
              </w:rPr>
              <w:t>1.7305</w:t>
            </w:r>
          </w:p>
        </w:tc>
      </w:tr>
      <w:tr w14:paraId="797C4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1" w:type="dxa"/>
            <w:vMerge w:val="continue"/>
            <w:tcBorders>
              <w:left w:val="nil"/>
              <w:right w:val="single" w:color="auto" w:sz="4" w:space="0"/>
            </w:tcBorders>
            <w:vAlign w:val="center"/>
          </w:tcPr>
          <w:p w14:paraId="4EDFA252">
            <w:pPr>
              <w:spacing w:line="240" w:lineRule="auto"/>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2078" w:type="dxa"/>
            <w:tcBorders>
              <w:top w:val="single" w:color="auto" w:sz="4" w:space="0"/>
              <w:left w:val="single" w:color="auto" w:sz="4" w:space="0"/>
              <w:bottom w:val="single" w:color="auto" w:sz="4" w:space="0"/>
              <w:right w:val="single" w:color="auto" w:sz="4" w:space="0"/>
            </w:tcBorders>
            <w:vAlign w:val="center"/>
          </w:tcPr>
          <w:p w14:paraId="67640C89">
            <w:pPr>
              <w:spacing w:line="240" w:lineRule="auto"/>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总磷</w:t>
            </w:r>
          </w:p>
        </w:tc>
        <w:tc>
          <w:tcPr>
            <w:tcW w:w="2438" w:type="dxa"/>
            <w:tcBorders>
              <w:top w:val="single" w:color="auto" w:sz="4" w:space="0"/>
              <w:left w:val="single" w:color="auto" w:sz="4" w:space="0"/>
              <w:bottom w:val="single" w:color="auto" w:sz="4" w:space="0"/>
              <w:right w:val="nil"/>
            </w:tcBorders>
            <w:vAlign w:val="bottom"/>
          </w:tcPr>
          <w:p w14:paraId="2998D704">
            <w:pPr>
              <w:widowControl/>
              <w:spacing w:line="240" w:lineRule="auto"/>
              <w:ind w:firstLine="0" w:firstLineChars="0"/>
              <w:jc w:val="center"/>
              <w:textAlignment w:val="bottom"/>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color w:val="000000"/>
                <w:kern w:val="0"/>
                <w:sz w:val="24"/>
                <w:szCs w:val="24"/>
                <w:lang w:eastAsia="zh-CN" w:bidi="ar"/>
              </w:rPr>
              <w:t>0.</w:t>
            </w:r>
            <w:r>
              <w:rPr>
                <w:rFonts w:hint="default" w:ascii="Times New Roman" w:hAnsi="Times New Roman" w:eastAsia="仿宋" w:cs="Times New Roman"/>
                <w:color w:val="000000"/>
                <w:kern w:val="0"/>
                <w:sz w:val="24"/>
                <w:szCs w:val="24"/>
                <w:lang w:val="en-US" w:eastAsia="zh-CN" w:bidi="ar"/>
              </w:rPr>
              <w:t>0723</w:t>
            </w:r>
          </w:p>
        </w:tc>
        <w:tc>
          <w:tcPr>
            <w:tcW w:w="2912" w:type="dxa"/>
            <w:vAlign w:val="bottom"/>
          </w:tcPr>
          <w:p w14:paraId="281FECC8">
            <w:pPr>
              <w:widowControl/>
              <w:spacing w:line="240" w:lineRule="auto"/>
              <w:ind w:firstLine="0" w:firstLineChars="0"/>
              <w:jc w:val="center"/>
              <w:textAlignment w:val="bottom"/>
              <w:rPr>
                <w:rFonts w:hint="default" w:ascii="Times New Roman" w:hAnsi="Times New Roman" w:eastAsia="仿宋" w:cs="Times New Roman"/>
                <w:color w:val="000000" w:themeColor="text1"/>
                <w:sz w:val="24"/>
                <w:szCs w:val="24"/>
                <w:lang w:val="en-US"/>
                <w14:textFill>
                  <w14:solidFill>
                    <w14:schemeClr w14:val="tx1"/>
                  </w14:solidFill>
                </w14:textFill>
              </w:rPr>
            </w:pPr>
            <w:r>
              <w:rPr>
                <w:rFonts w:hint="default" w:ascii="Times New Roman" w:hAnsi="Times New Roman" w:eastAsia="仿宋" w:cs="Times New Roman"/>
                <w:color w:val="000000"/>
                <w:kern w:val="0"/>
                <w:sz w:val="24"/>
                <w:szCs w:val="24"/>
                <w:lang w:eastAsia="zh-CN" w:bidi="ar"/>
              </w:rPr>
              <w:t>0.041</w:t>
            </w:r>
          </w:p>
        </w:tc>
      </w:tr>
      <w:tr w14:paraId="461BE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1" w:type="dxa"/>
            <w:tcBorders>
              <w:top w:val="single" w:color="auto" w:sz="4" w:space="0"/>
              <w:left w:val="nil"/>
              <w:bottom w:val="single" w:color="auto" w:sz="12" w:space="0"/>
              <w:right w:val="single" w:color="auto" w:sz="4" w:space="0"/>
            </w:tcBorders>
            <w:vAlign w:val="center"/>
          </w:tcPr>
          <w:p w14:paraId="58EAA71A">
            <w:pPr>
              <w:spacing w:line="240" w:lineRule="auto"/>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废气</w:t>
            </w:r>
          </w:p>
        </w:tc>
        <w:tc>
          <w:tcPr>
            <w:tcW w:w="2078" w:type="dxa"/>
            <w:tcBorders>
              <w:top w:val="single" w:color="auto" w:sz="4" w:space="0"/>
              <w:left w:val="single" w:color="auto" w:sz="4" w:space="0"/>
              <w:bottom w:val="single" w:color="auto" w:sz="12" w:space="0"/>
              <w:right w:val="single" w:color="auto" w:sz="4" w:space="0"/>
            </w:tcBorders>
            <w:vAlign w:val="center"/>
          </w:tcPr>
          <w:p w14:paraId="53A139E9">
            <w:pPr>
              <w:spacing w:line="240" w:lineRule="auto"/>
              <w:ind w:firstLine="0" w:firstLineChars="0"/>
              <w:jc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eastAsia="仿宋" w:cs="Times New Roman"/>
                <w:color w:val="000000" w:themeColor="text1"/>
                <w:sz w:val="24"/>
                <w:szCs w:val="24"/>
                <w:lang w:eastAsia="zh-CN"/>
                <w14:textFill>
                  <w14:solidFill>
                    <w14:schemeClr w14:val="tx1"/>
                  </w14:solidFill>
                </w14:textFill>
              </w:rPr>
              <w:t>VOCs</w:t>
            </w:r>
          </w:p>
        </w:tc>
        <w:tc>
          <w:tcPr>
            <w:tcW w:w="2438" w:type="dxa"/>
            <w:tcBorders>
              <w:top w:val="single" w:color="auto" w:sz="4" w:space="0"/>
              <w:left w:val="single" w:color="auto" w:sz="4" w:space="0"/>
              <w:bottom w:val="single" w:color="auto" w:sz="12" w:space="0"/>
              <w:right w:val="nil"/>
            </w:tcBorders>
            <w:vAlign w:val="center"/>
          </w:tcPr>
          <w:p w14:paraId="4EC40EA1">
            <w:pPr>
              <w:pStyle w:val="9"/>
              <w:ind w:firstLine="0" w:firstLineChars="0"/>
              <w:jc w:val="center"/>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sz w:val="24"/>
                <w:szCs w:val="24"/>
                <w:lang w:val="en-US" w:eastAsia="zh-CN"/>
              </w:rPr>
              <w:t>45.4998</w:t>
            </w:r>
          </w:p>
        </w:tc>
        <w:tc>
          <w:tcPr>
            <w:tcW w:w="2912" w:type="dxa"/>
            <w:tcBorders>
              <w:bottom w:val="single" w:color="auto" w:sz="12" w:space="0"/>
            </w:tcBorders>
            <w:vAlign w:val="center"/>
          </w:tcPr>
          <w:p w14:paraId="4C39F0C2">
            <w:pPr>
              <w:spacing w:line="240" w:lineRule="auto"/>
              <w:ind w:firstLine="0" w:firstLineChars="0"/>
              <w:jc w:val="center"/>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color w:val="000000" w:themeColor="text1"/>
                <w:sz w:val="24"/>
                <w:szCs w:val="24"/>
                <w:lang w:val="en-US" w:eastAsia="zh-CN"/>
                <w14:textFill>
                  <w14:solidFill>
                    <w14:schemeClr w14:val="tx1"/>
                  </w14:solidFill>
                </w14:textFill>
              </w:rPr>
              <w:t>10.7767</w:t>
            </w:r>
          </w:p>
        </w:tc>
      </w:tr>
    </w:tbl>
    <w:p w14:paraId="29235D4B">
      <w:pPr>
        <w:pStyle w:val="5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注：本次验收为阶段性验收，注：*废水验收总量指标按本次验收二阶段产能+已验收一阶段在产产能折算得到，大气污染物排放量按环评报告中车间五及对应公辅工程项目总量核算。</w:t>
      </w:r>
    </w:p>
    <w:p w14:paraId="67B5B7FF">
      <w:pPr>
        <w:pStyle w:val="52"/>
        <w:ind w:firstLine="0" w:firstLineChars="0"/>
        <w:rPr>
          <w:rFonts w:hint="default" w:ascii="Times New Roman" w:hAnsi="Times New Roman" w:eastAsia="仿宋" w:cs="Times New Roman"/>
          <w:sz w:val="21"/>
          <w:szCs w:val="21"/>
        </w:rPr>
      </w:pPr>
    </w:p>
    <w:p w14:paraId="72F63D42">
      <w:pPr>
        <w:pStyle w:val="10"/>
        <w:ind w:firstLine="480"/>
        <w:rPr>
          <w:rFonts w:hint="default" w:ascii="Times New Roman" w:hAnsi="Times New Roman" w:cs="Times New Roman"/>
        </w:rPr>
      </w:pPr>
    </w:p>
    <w:p w14:paraId="7473AF30">
      <w:pPr>
        <w:pStyle w:val="10"/>
        <w:ind w:firstLine="480"/>
        <w:rPr>
          <w:rFonts w:hint="default" w:ascii="Times New Roman" w:hAnsi="Times New Roman" w:cs="Times New Roman"/>
        </w:rPr>
      </w:pPr>
    </w:p>
    <w:p w14:paraId="0FCCD179">
      <w:pPr>
        <w:pStyle w:val="2"/>
        <w:spacing w:beforeLines="50" w:afterLines="50"/>
        <w:rPr>
          <w:rFonts w:hint="default" w:ascii="Times New Roman" w:hAnsi="Times New Roman" w:cs="Times New Roman"/>
          <w:color w:val="000000"/>
        </w:rPr>
      </w:pPr>
      <w:bookmarkStart w:id="100" w:name="_Toc5204544"/>
      <w:bookmarkStart w:id="101" w:name="_Toc16937"/>
      <w:r>
        <w:rPr>
          <w:rFonts w:hint="default" w:ascii="Times New Roman" w:hAnsi="Times New Roman" w:cs="Times New Roman"/>
          <w:color w:val="000000"/>
        </w:rPr>
        <w:t>7  验收监测内容</w:t>
      </w:r>
      <w:bookmarkEnd w:id="100"/>
      <w:bookmarkEnd w:id="101"/>
    </w:p>
    <w:p w14:paraId="467B1F46">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themeColor="text1"/>
          <w:sz w:val="28"/>
          <w:szCs w:val="28"/>
          <w14:textFill>
            <w14:solidFill>
              <w14:schemeClr w14:val="tx1"/>
            </w14:solidFill>
          </w14:textFill>
        </w:rPr>
        <w:t>此次竣工验收监测是对</w:t>
      </w:r>
      <w:r>
        <w:rPr>
          <w:rFonts w:hint="default" w:ascii="Times New Roman" w:hAnsi="Times New Roman" w:eastAsia="仿宋" w:cs="Times New Roman"/>
          <w:color w:val="000000" w:themeColor="text1"/>
          <w:sz w:val="28"/>
          <w:szCs w:val="28"/>
          <w:lang w:eastAsia="zh-CN"/>
          <w14:textFill>
            <w14:solidFill>
              <w14:schemeClr w14:val="tx1"/>
            </w14:solidFill>
          </w14:textFill>
        </w:rPr>
        <w:t>江苏九州星际新材料有限公司年产8608吨</w:t>
      </w:r>
      <w:r>
        <w:rPr>
          <w:rFonts w:hint="default" w:ascii="Times New Roman" w:hAnsi="Times New Roman" w:eastAsia="仿宋" w:cs="Times New Roman"/>
          <w:color w:val="000000" w:themeColor="text1"/>
          <w:sz w:val="28"/>
          <w:szCs w:val="28"/>
          <w14:textFill>
            <w14:solidFill>
              <w14:schemeClr w14:val="tx1"/>
            </w14:solidFill>
          </w14:textFill>
        </w:rPr>
        <w:t>超高分子量聚乙烯纤维项目</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中</w:t>
      </w:r>
      <w:r>
        <w:rPr>
          <w:rFonts w:hint="default" w:ascii="Times New Roman" w:hAnsi="Times New Roman" w:eastAsia="仿宋" w:cs="Times New Roman"/>
          <w:bCs/>
          <w:snapToGrid w:val="0"/>
          <w:sz w:val="28"/>
          <w:lang w:val="en-US" w:eastAsia="zh-CN"/>
        </w:rPr>
        <w:t>二阶段车间五</w:t>
      </w:r>
      <w:r>
        <w:rPr>
          <w:rFonts w:hint="default" w:ascii="Times New Roman" w:hAnsi="Times New Roman" w:eastAsia="仿宋" w:cs="Times New Roman"/>
          <w:snapToGrid w:val="0"/>
          <w:color w:val="000000" w:themeColor="text1"/>
          <w:sz w:val="28"/>
          <w:szCs w:val="28"/>
          <w:lang w:val="en-US" w:eastAsia="zh-CN"/>
          <w14:textFill>
            <w14:solidFill>
              <w14:schemeClr w14:val="tx1"/>
            </w14:solidFill>
          </w14:textFill>
        </w:rPr>
        <w:t>2784吨/年超高分子量聚乙烯纤维项目</w:t>
      </w:r>
      <w:r>
        <w:rPr>
          <w:rFonts w:hint="default" w:ascii="Times New Roman" w:hAnsi="Times New Roman" w:eastAsia="仿宋" w:cs="Times New Roman"/>
          <w:color w:val="000000" w:themeColor="text1"/>
          <w:sz w:val="28"/>
          <w:szCs w:val="28"/>
          <w14:textFill>
            <w14:solidFill>
              <w14:schemeClr w14:val="tx1"/>
            </w14:solidFill>
          </w14:textFill>
        </w:rPr>
        <w:t>环境保护设施的建设、运行和管理进行全面考核，对环保设施的处理效果和排污状况进行现场监测，以检查各种污染防治措施是否达到设计能力和预期效果，并评价其污染物排放是否符合国家相关标准和总量控制指标。监测期间应工况稳定，生产负荷必须达到设计生产能力的75%以上</w:t>
      </w:r>
      <w:r>
        <w:rPr>
          <w:rFonts w:hint="default" w:ascii="Times New Roman" w:hAnsi="Times New Roman" w:eastAsia="仿宋" w:cs="Times New Roman"/>
          <w:color w:val="000000"/>
        </w:rPr>
        <w:t>。</w:t>
      </w:r>
    </w:p>
    <w:p w14:paraId="5F156F3A">
      <w:pPr>
        <w:pStyle w:val="3"/>
        <w:spacing w:before="120" w:after="0"/>
        <w:ind w:firstLine="0" w:firstLineChars="0"/>
        <w:rPr>
          <w:rFonts w:hint="default" w:ascii="Times New Roman" w:hAnsi="Times New Roman" w:cs="Times New Roman"/>
          <w:color w:val="000000"/>
        </w:rPr>
      </w:pPr>
      <w:bookmarkStart w:id="102" w:name="_Toc6531"/>
      <w:bookmarkStart w:id="103" w:name="_Toc5204545"/>
      <w:bookmarkStart w:id="104" w:name="_Toc520410267"/>
      <w:r>
        <w:rPr>
          <w:rFonts w:hint="default" w:ascii="Times New Roman" w:hAnsi="Times New Roman" w:cs="Times New Roman"/>
          <w:color w:val="000000"/>
        </w:rPr>
        <w:t>7.1 废水</w:t>
      </w:r>
      <w:bookmarkEnd w:id="102"/>
      <w:bookmarkEnd w:id="103"/>
      <w:bookmarkEnd w:id="104"/>
    </w:p>
    <w:p w14:paraId="01E65749">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废水监测点位、项目和频次见表7.1-1，废水监测点位见图4.1-1。</w:t>
      </w:r>
    </w:p>
    <w:p w14:paraId="096359BC">
      <w:pPr>
        <w:spacing w:afterLines="50"/>
        <w:ind w:firstLine="0" w:firstLineChars="0"/>
        <w:jc w:val="center"/>
        <w:rPr>
          <w:rFonts w:hint="default" w:ascii="Times New Roman" w:hAnsi="Times New Roman" w:cs="Times New Roman"/>
          <w:b/>
          <w:bCs/>
          <w:color w:val="000000"/>
        </w:rPr>
      </w:pPr>
      <w:r>
        <w:rPr>
          <w:rFonts w:hint="default" w:ascii="Times New Roman" w:hAnsi="Times New Roman" w:cs="Times New Roman"/>
          <w:b/>
          <w:bCs/>
          <w:color w:val="000000"/>
        </w:rPr>
        <w:t>表7.1-1  项目废水监测情况一览表</w:t>
      </w:r>
    </w:p>
    <w:tbl>
      <w:tblPr>
        <w:tblStyle w:val="25"/>
        <w:tblW w:w="9178" w:type="dxa"/>
        <w:tblInd w:w="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240"/>
        <w:gridCol w:w="1276"/>
        <w:gridCol w:w="3544"/>
        <w:gridCol w:w="1134"/>
        <w:gridCol w:w="1984"/>
      </w:tblGrid>
      <w:tr w14:paraId="6306AAC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c>
          <w:tcPr>
            <w:tcW w:w="1240" w:type="dxa"/>
            <w:vAlign w:val="center"/>
          </w:tcPr>
          <w:p w14:paraId="7BD1F745">
            <w:pPr>
              <w:adjustRightInd w:val="0"/>
              <w:snapToGrid w:val="0"/>
              <w:spacing w:line="360" w:lineRule="exact"/>
              <w:ind w:firstLine="0" w:firstLineChars="0"/>
              <w:jc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污染类别</w:t>
            </w:r>
          </w:p>
        </w:tc>
        <w:tc>
          <w:tcPr>
            <w:tcW w:w="1276" w:type="dxa"/>
            <w:vAlign w:val="center"/>
          </w:tcPr>
          <w:p w14:paraId="63F7B151">
            <w:pPr>
              <w:adjustRightInd w:val="0"/>
              <w:snapToGrid w:val="0"/>
              <w:spacing w:line="360" w:lineRule="exact"/>
              <w:ind w:firstLine="0" w:firstLineChars="0"/>
              <w:jc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监测点位及编号</w:t>
            </w:r>
          </w:p>
        </w:tc>
        <w:tc>
          <w:tcPr>
            <w:tcW w:w="3544" w:type="dxa"/>
            <w:vAlign w:val="center"/>
          </w:tcPr>
          <w:p w14:paraId="64C12254">
            <w:pPr>
              <w:adjustRightInd w:val="0"/>
              <w:snapToGrid w:val="0"/>
              <w:spacing w:line="360" w:lineRule="exact"/>
              <w:ind w:firstLine="0" w:firstLineChars="0"/>
              <w:jc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监测因子</w:t>
            </w:r>
          </w:p>
        </w:tc>
        <w:tc>
          <w:tcPr>
            <w:tcW w:w="1134" w:type="dxa"/>
            <w:vAlign w:val="center"/>
          </w:tcPr>
          <w:p w14:paraId="1F089943">
            <w:pPr>
              <w:adjustRightInd w:val="0"/>
              <w:snapToGrid w:val="0"/>
              <w:spacing w:line="360" w:lineRule="exact"/>
              <w:ind w:firstLine="0" w:firstLineChars="0"/>
              <w:jc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监测频次</w:t>
            </w:r>
          </w:p>
        </w:tc>
        <w:tc>
          <w:tcPr>
            <w:tcW w:w="1984" w:type="dxa"/>
            <w:vAlign w:val="center"/>
          </w:tcPr>
          <w:p w14:paraId="0930797E">
            <w:pPr>
              <w:adjustRightInd w:val="0"/>
              <w:snapToGrid w:val="0"/>
              <w:spacing w:line="360" w:lineRule="exact"/>
              <w:ind w:firstLine="0" w:firstLineChars="0"/>
              <w:jc w:val="center"/>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备注</w:t>
            </w:r>
          </w:p>
        </w:tc>
      </w:tr>
      <w:tr w14:paraId="0B6B73B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03" w:hRule="atLeast"/>
        </w:trPr>
        <w:tc>
          <w:tcPr>
            <w:tcW w:w="1240" w:type="dxa"/>
            <w:vAlign w:val="center"/>
          </w:tcPr>
          <w:p w14:paraId="651FB000">
            <w:pPr>
              <w:adjustRightInd w:val="0"/>
              <w:snapToGrid w:val="0"/>
              <w:spacing w:line="360" w:lineRule="exact"/>
              <w:ind w:firstLine="0" w:firstLineChars="0"/>
              <w:jc w:val="center"/>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废水</w:t>
            </w:r>
          </w:p>
        </w:tc>
        <w:tc>
          <w:tcPr>
            <w:tcW w:w="1276" w:type="dxa"/>
            <w:vAlign w:val="center"/>
          </w:tcPr>
          <w:p w14:paraId="68D8CBC6">
            <w:pPr>
              <w:adjustRightInd w:val="0"/>
              <w:snapToGrid w:val="0"/>
              <w:spacing w:line="360" w:lineRule="exact"/>
              <w:ind w:firstLine="0"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lang w:val="en-US" w:eastAsia="zh-CN"/>
              </w:rPr>
              <w:t>总排口</w:t>
            </w:r>
          </w:p>
        </w:tc>
        <w:tc>
          <w:tcPr>
            <w:tcW w:w="3544" w:type="dxa"/>
            <w:vAlign w:val="center"/>
          </w:tcPr>
          <w:p w14:paraId="4AA5ED07">
            <w:pPr>
              <w:adjustRightInd w:val="0"/>
              <w:snapToGrid w:val="0"/>
              <w:spacing w:line="360" w:lineRule="exact"/>
              <w:ind w:firstLine="0"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lang w:val="en-US" w:eastAsia="zh-CN"/>
              </w:rPr>
              <w:t>pH、化学需氧量、BOD</w:t>
            </w:r>
            <w:r>
              <w:rPr>
                <w:rFonts w:hint="default" w:ascii="Times New Roman" w:hAnsi="Times New Roman" w:eastAsia="仿宋" w:cs="Times New Roman"/>
                <w:color w:val="000000"/>
                <w:sz w:val="24"/>
                <w:szCs w:val="24"/>
                <w:vertAlign w:val="subscript"/>
                <w:lang w:val="en-US" w:eastAsia="zh-CN"/>
              </w:rPr>
              <w:t>5</w:t>
            </w:r>
            <w:r>
              <w:rPr>
                <w:rFonts w:hint="default" w:ascii="Times New Roman" w:hAnsi="Times New Roman" w:eastAsia="仿宋" w:cs="Times New Roman"/>
                <w:color w:val="000000"/>
                <w:sz w:val="24"/>
                <w:szCs w:val="24"/>
                <w:lang w:val="en-US" w:eastAsia="zh-CN"/>
              </w:rPr>
              <w:t>、悬浮物、氨氮、总磷、总氮、石油类、动植物油、</w:t>
            </w:r>
            <w:r>
              <w:rPr>
                <w:rFonts w:hint="eastAsia" w:eastAsia="仿宋" w:cs="Times New Roman"/>
                <w:color w:val="000000"/>
                <w:sz w:val="24"/>
                <w:szCs w:val="24"/>
                <w:lang w:val="en-US" w:eastAsia="zh-CN"/>
              </w:rPr>
              <w:t>*</w:t>
            </w:r>
            <w:r>
              <w:rPr>
                <w:rFonts w:hint="default" w:ascii="Times New Roman" w:hAnsi="Times New Roman" w:eastAsia="仿宋" w:cs="Times New Roman"/>
                <w:color w:val="000000"/>
                <w:sz w:val="24"/>
                <w:szCs w:val="24"/>
                <w:lang w:val="en-US" w:eastAsia="zh-CN"/>
              </w:rPr>
              <w:t>、AOX</w:t>
            </w:r>
          </w:p>
        </w:tc>
        <w:tc>
          <w:tcPr>
            <w:tcW w:w="1134" w:type="dxa"/>
            <w:vAlign w:val="center"/>
          </w:tcPr>
          <w:p w14:paraId="3DC457E0">
            <w:pPr>
              <w:adjustRightInd w:val="0"/>
              <w:snapToGrid w:val="0"/>
              <w:spacing w:line="360" w:lineRule="exact"/>
              <w:ind w:firstLine="0"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2天×4次</w:t>
            </w:r>
          </w:p>
        </w:tc>
        <w:tc>
          <w:tcPr>
            <w:tcW w:w="1984" w:type="dxa"/>
            <w:vAlign w:val="center"/>
          </w:tcPr>
          <w:p w14:paraId="4587875A">
            <w:pPr>
              <w:adjustRightInd w:val="0"/>
              <w:snapToGrid w:val="0"/>
              <w:spacing w:line="360" w:lineRule="exact"/>
              <w:ind w:firstLine="0" w:firstLineChars="0"/>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w:t>
            </w:r>
          </w:p>
        </w:tc>
      </w:tr>
    </w:tbl>
    <w:p w14:paraId="24726C5D">
      <w:pPr>
        <w:pStyle w:val="10"/>
        <w:adjustRightInd w:val="0"/>
        <w:snapToGrid w:val="0"/>
        <w:spacing w:line="480" w:lineRule="exact"/>
        <w:ind w:firstLine="560"/>
        <w:rPr>
          <w:rFonts w:hint="default" w:ascii="Times New Roman" w:hAnsi="Times New Roman" w:eastAsia="仿宋" w:cs="Times New Roman"/>
          <w:sz w:val="28"/>
          <w:szCs w:val="28"/>
          <w:lang w:val="en-US" w:eastAsia="zh-CN"/>
        </w:rPr>
      </w:pPr>
      <w:r>
        <w:rPr>
          <w:rFonts w:hint="default" w:ascii="Times New Roman" w:hAnsi="Times New Roman" w:eastAsia="仿宋" w:cs="Times New Roman"/>
          <w:b/>
          <w:bCs/>
          <w:sz w:val="28"/>
          <w:szCs w:val="28"/>
          <w:lang w:val="en-US" w:eastAsia="zh-CN"/>
        </w:rPr>
        <w:t>情况说明</w:t>
      </w:r>
      <w:r>
        <w:rPr>
          <w:rFonts w:hint="default" w:ascii="Times New Roman" w:hAnsi="Times New Roman" w:eastAsia="仿宋" w:cs="Times New Roman"/>
          <w:sz w:val="28"/>
          <w:szCs w:val="28"/>
          <w:lang w:val="en-US" w:eastAsia="zh-CN"/>
        </w:rPr>
        <w:t>：本次验收产品及废水出水水质均与一期验收完全一致，故本次仅对总排口进行监测。</w:t>
      </w:r>
    </w:p>
    <w:p w14:paraId="2AAED76E">
      <w:pPr>
        <w:pStyle w:val="3"/>
        <w:spacing w:before="120" w:after="0"/>
        <w:ind w:firstLine="0" w:firstLineChars="0"/>
        <w:rPr>
          <w:rFonts w:hint="default" w:ascii="Times New Roman" w:hAnsi="Times New Roman" w:cs="Times New Roman"/>
          <w:color w:val="000000"/>
        </w:rPr>
      </w:pPr>
      <w:bookmarkStart w:id="105" w:name="_Toc14817"/>
      <w:bookmarkStart w:id="106" w:name="_Toc520410268"/>
      <w:bookmarkStart w:id="107" w:name="_Toc5204546"/>
      <w:r>
        <w:rPr>
          <w:rFonts w:hint="default" w:ascii="Times New Roman" w:hAnsi="Times New Roman" w:cs="Times New Roman"/>
          <w:color w:val="000000"/>
        </w:rPr>
        <w:t>7.2 废气</w:t>
      </w:r>
      <w:bookmarkEnd w:id="105"/>
      <w:bookmarkEnd w:id="106"/>
      <w:bookmarkEnd w:id="107"/>
    </w:p>
    <w:p w14:paraId="76746AA5">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项目有组织废气监测点位、因子和频次见表7.2-1，有组织废气监测点位示意见图</w:t>
      </w:r>
      <w:r>
        <w:rPr>
          <w:rFonts w:hint="default" w:ascii="Times New Roman" w:hAnsi="Times New Roman" w:eastAsia="仿宋" w:cs="Times New Roman"/>
          <w:color w:val="000000"/>
          <w:lang w:val="en-US" w:eastAsia="zh-CN"/>
        </w:rPr>
        <w:t>7</w:t>
      </w:r>
      <w:r>
        <w:rPr>
          <w:rFonts w:hint="default" w:ascii="Times New Roman" w:hAnsi="Times New Roman" w:eastAsia="仿宋" w:cs="Times New Roman"/>
          <w:color w:val="000000"/>
        </w:rPr>
        <w:t>.</w:t>
      </w:r>
      <w:r>
        <w:rPr>
          <w:rFonts w:hint="default" w:ascii="Times New Roman" w:hAnsi="Times New Roman" w:eastAsia="仿宋" w:cs="Times New Roman"/>
          <w:color w:val="000000"/>
          <w:lang w:val="en-US" w:eastAsia="zh-CN"/>
        </w:rPr>
        <w:t>2-1</w:t>
      </w:r>
      <w:r>
        <w:rPr>
          <w:rFonts w:hint="default" w:ascii="Times New Roman" w:hAnsi="Times New Roman" w:eastAsia="仿宋" w:cs="Times New Roman"/>
          <w:color w:val="000000"/>
        </w:rPr>
        <w:t>。</w:t>
      </w:r>
    </w:p>
    <w:p w14:paraId="511B7639">
      <w:pPr>
        <w:spacing w:line="480" w:lineRule="exact"/>
        <w:ind w:firstLine="0" w:firstLineChars="0"/>
        <w:jc w:val="center"/>
        <w:rPr>
          <w:rFonts w:hint="default" w:ascii="Times New Roman" w:hAnsi="Times New Roman" w:cs="Times New Roman"/>
          <w:b/>
          <w:bCs/>
          <w:color w:val="000000"/>
        </w:rPr>
      </w:pPr>
      <w:r>
        <w:rPr>
          <w:rFonts w:hint="default" w:ascii="Times New Roman" w:hAnsi="Times New Roman" w:cs="Times New Roman"/>
          <w:b/>
          <w:bCs/>
          <w:color w:val="000000"/>
        </w:rPr>
        <w:t>表7.2-1  项目有组织废气监测情况一览表</w:t>
      </w:r>
    </w:p>
    <w:tbl>
      <w:tblPr>
        <w:tblStyle w:val="25"/>
        <w:tblW w:w="83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141"/>
        <w:gridCol w:w="2552"/>
        <w:gridCol w:w="3506"/>
        <w:gridCol w:w="1126"/>
      </w:tblGrid>
      <w:tr w14:paraId="4DBBD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14" w:hRule="atLeast"/>
          <w:jc w:val="center"/>
        </w:trPr>
        <w:tc>
          <w:tcPr>
            <w:tcW w:w="1141" w:type="dxa"/>
            <w:tcBorders>
              <w:top w:val="single" w:color="auto" w:sz="12" w:space="0"/>
              <w:left w:val="nil"/>
              <w:bottom w:val="single" w:color="auto" w:sz="4" w:space="0"/>
              <w:right w:val="single" w:color="auto" w:sz="4" w:space="0"/>
            </w:tcBorders>
            <w:vAlign w:val="center"/>
          </w:tcPr>
          <w:p w14:paraId="7E7FD944">
            <w:pPr>
              <w:spacing w:line="320" w:lineRule="exact"/>
              <w:ind w:firstLine="0" w:firstLineChars="0"/>
              <w:jc w:val="center"/>
              <w:rPr>
                <w:rFonts w:hint="default" w:ascii="Times New Roman" w:hAnsi="Times New Roman" w:eastAsia="仿宋" w:cs="Times New Roman"/>
                <w:b/>
                <w:color w:val="000000" w:themeColor="text1"/>
                <w:sz w:val="24"/>
                <w:szCs w:val="24"/>
                <w14:textFill>
                  <w14:solidFill>
                    <w14:schemeClr w14:val="tx1"/>
                  </w14:solidFill>
                </w14:textFill>
              </w:rPr>
            </w:pPr>
            <w:r>
              <w:rPr>
                <w:rFonts w:hint="default" w:ascii="Times New Roman" w:hAnsi="Times New Roman" w:eastAsia="仿宋" w:cs="Times New Roman"/>
                <w:b/>
                <w:color w:val="000000" w:themeColor="text1"/>
                <w:sz w:val="24"/>
                <w:szCs w:val="24"/>
                <w14:textFill>
                  <w14:solidFill>
                    <w14:schemeClr w14:val="tx1"/>
                  </w14:solidFill>
                </w14:textFill>
              </w:rPr>
              <w:t>污染种类</w:t>
            </w:r>
          </w:p>
        </w:tc>
        <w:tc>
          <w:tcPr>
            <w:tcW w:w="2552" w:type="dxa"/>
            <w:tcBorders>
              <w:top w:val="single" w:color="auto" w:sz="12" w:space="0"/>
              <w:left w:val="single" w:color="auto" w:sz="4" w:space="0"/>
              <w:bottom w:val="single" w:color="auto" w:sz="4" w:space="0"/>
              <w:right w:val="single" w:color="auto" w:sz="4" w:space="0"/>
            </w:tcBorders>
            <w:vAlign w:val="center"/>
          </w:tcPr>
          <w:p w14:paraId="1BFDFA41">
            <w:pPr>
              <w:spacing w:line="320" w:lineRule="exact"/>
              <w:ind w:firstLine="0" w:firstLineChars="0"/>
              <w:jc w:val="center"/>
              <w:rPr>
                <w:rFonts w:hint="default" w:ascii="Times New Roman" w:hAnsi="Times New Roman" w:eastAsia="仿宋" w:cs="Times New Roman"/>
                <w:b/>
                <w:color w:val="000000" w:themeColor="text1"/>
                <w:sz w:val="24"/>
                <w:szCs w:val="24"/>
                <w14:textFill>
                  <w14:solidFill>
                    <w14:schemeClr w14:val="tx1"/>
                  </w14:solidFill>
                </w14:textFill>
              </w:rPr>
            </w:pPr>
            <w:r>
              <w:rPr>
                <w:rFonts w:hint="default" w:ascii="Times New Roman" w:hAnsi="Times New Roman" w:eastAsia="仿宋" w:cs="Times New Roman"/>
                <w:b/>
                <w:color w:val="000000" w:themeColor="text1"/>
                <w:sz w:val="24"/>
                <w:szCs w:val="24"/>
                <w14:textFill>
                  <w14:solidFill>
                    <w14:schemeClr w14:val="tx1"/>
                  </w14:solidFill>
                </w14:textFill>
              </w:rPr>
              <w:t>测点位置</w:t>
            </w:r>
          </w:p>
        </w:tc>
        <w:tc>
          <w:tcPr>
            <w:tcW w:w="3506" w:type="dxa"/>
            <w:tcBorders>
              <w:top w:val="single" w:color="auto" w:sz="12" w:space="0"/>
              <w:left w:val="single" w:color="auto" w:sz="4" w:space="0"/>
              <w:bottom w:val="single" w:color="auto" w:sz="4" w:space="0"/>
              <w:right w:val="single" w:color="auto" w:sz="4" w:space="0"/>
            </w:tcBorders>
            <w:vAlign w:val="center"/>
          </w:tcPr>
          <w:p w14:paraId="56C4E87F">
            <w:pPr>
              <w:spacing w:line="320" w:lineRule="exact"/>
              <w:ind w:firstLine="0" w:firstLineChars="0"/>
              <w:jc w:val="center"/>
              <w:rPr>
                <w:rFonts w:hint="default" w:ascii="Times New Roman" w:hAnsi="Times New Roman" w:eastAsia="仿宋" w:cs="Times New Roman"/>
                <w:b/>
                <w:color w:val="000000" w:themeColor="text1"/>
                <w:sz w:val="24"/>
                <w:szCs w:val="24"/>
                <w14:textFill>
                  <w14:solidFill>
                    <w14:schemeClr w14:val="tx1"/>
                  </w14:solidFill>
                </w14:textFill>
              </w:rPr>
            </w:pPr>
            <w:r>
              <w:rPr>
                <w:rFonts w:hint="default" w:ascii="Times New Roman" w:hAnsi="Times New Roman" w:eastAsia="仿宋" w:cs="Times New Roman"/>
                <w:b/>
                <w:color w:val="000000" w:themeColor="text1"/>
                <w:sz w:val="24"/>
                <w:szCs w:val="24"/>
                <w14:textFill>
                  <w14:solidFill>
                    <w14:schemeClr w14:val="tx1"/>
                  </w14:solidFill>
                </w14:textFill>
              </w:rPr>
              <w:t>监测项目</w:t>
            </w:r>
          </w:p>
        </w:tc>
        <w:tc>
          <w:tcPr>
            <w:tcW w:w="1126" w:type="dxa"/>
            <w:tcBorders>
              <w:top w:val="single" w:color="auto" w:sz="12" w:space="0"/>
              <w:left w:val="single" w:color="auto" w:sz="4" w:space="0"/>
              <w:bottom w:val="single" w:color="auto" w:sz="4" w:space="0"/>
              <w:right w:val="nil"/>
            </w:tcBorders>
            <w:vAlign w:val="center"/>
          </w:tcPr>
          <w:p w14:paraId="0818E81F">
            <w:pPr>
              <w:spacing w:line="320" w:lineRule="exact"/>
              <w:ind w:firstLine="0" w:firstLineChars="0"/>
              <w:jc w:val="center"/>
              <w:rPr>
                <w:rFonts w:hint="default" w:ascii="Times New Roman" w:hAnsi="Times New Roman" w:eastAsia="仿宋" w:cs="Times New Roman"/>
                <w:b/>
                <w:color w:val="000000" w:themeColor="text1"/>
                <w:sz w:val="24"/>
                <w:szCs w:val="24"/>
                <w14:textFill>
                  <w14:solidFill>
                    <w14:schemeClr w14:val="tx1"/>
                  </w14:solidFill>
                </w14:textFill>
              </w:rPr>
            </w:pPr>
            <w:r>
              <w:rPr>
                <w:rFonts w:hint="default" w:ascii="Times New Roman" w:hAnsi="Times New Roman" w:eastAsia="仿宋" w:cs="Times New Roman"/>
                <w:b/>
                <w:color w:val="000000" w:themeColor="text1"/>
                <w:sz w:val="24"/>
                <w:szCs w:val="24"/>
                <w14:textFill>
                  <w14:solidFill>
                    <w14:schemeClr w14:val="tx1"/>
                  </w14:solidFill>
                </w14:textFill>
              </w:rPr>
              <w:t>监测频次</w:t>
            </w:r>
          </w:p>
        </w:tc>
      </w:tr>
      <w:tr w14:paraId="6532F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19" w:hRule="atLeast"/>
          <w:jc w:val="center"/>
        </w:trPr>
        <w:tc>
          <w:tcPr>
            <w:tcW w:w="1141" w:type="dxa"/>
            <w:vMerge w:val="restart"/>
            <w:tcBorders>
              <w:top w:val="single" w:color="auto" w:sz="4" w:space="0"/>
              <w:left w:val="nil"/>
              <w:right w:val="single" w:color="auto" w:sz="4" w:space="0"/>
            </w:tcBorders>
            <w:vAlign w:val="center"/>
          </w:tcPr>
          <w:p w14:paraId="2C63FDDE">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有组织废气</w:t>
            </w:r>
          </w:p>
        </w:tc>
        <w:tc>
          <w:tcPr>
            <w:tcW w:w="2552" w:type="dxa"/>
            <w:tcBorders>
              <w:top w:val="single" w:color="auto" w:sz="4" w:space="0"/>
              <w:left w:val="single" w:color="auto" w:sz="4" w:space="0"/>
              <w:bottom w:val="single" w:color="auto" w:sz="4" w:space="0"/>
              <w:right w:val="single" w:color="auto" w:sz="4" w:space="0"/>
            </w:tcBorders>
            <w:vAlign w:val="center"/>
          </w:tcPr>
          <w:p w14:paraId="1CC5F442">
            <w:pPr>
              <w:pStyle w:val="45"/>
              <w:autoSpaceDE w:val="0"/>
              <w:autoSpaceDN w:val="0"/>
              <w:ind w:firstLine="0" w:firstLineChars="0"/>
              <w:jc w:val="center"/>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color w:val="000000"/>
                <w:kern w:val="0"/>
                <w:szCs w:val="21"/>
                <w:lang w:val="en-US" w:bidi="ar-SA"/>
              </w:rPr>
              <w:t>DA012</w:t>
            </w:r>
            <w:r>
              <w:rPr>
                <w:rFonts w:hint="default" w:ascii="Times New Roman" w:hAnsi="Times New Roman" w:eastAsia="仿宋" w:cs="Times New Roman"/>
                <w:color w:val="000000"/>
                <w:kern w:val="0"/>
                <w:szCs w:val="21"/>
                <w:lang w:val="en-US" w:eastAsia="zh-CN" w:bidi="ar-SA"/>
              </w:rPr>
              <w:t>出</w:t>
            </w:r>
            <w:r>
              <w:rPr>
                <w:rFonts w:hint="default" w:ascii="Times New Roman" w:hAnsi="Times New Roman" w:eastAsia="仿宋" w:cs="Times New Roman"/>
                <w:color w:val="000000"/>
                <w:kern w:val="0"/>
                <w:szCs w:val="21"/>
                <w:lang w:val="en-US" w:bidi="ar-SA"/>
              </w:rPr>
              <w:t>口</w:t>
            </w:r>
          </w:p>
        </w:tc>
        <w:tc>
          <w:tcPr>
            <w:tcW w:w="3506" w:type="dxa"/>
            <w:tcBorders>
              <w:top w:val="single" w:color="auto" w:sz="4" w:space="0"/>
              <w:left w:val="single" w:color="auto" w:sz="4" w:space="0"/>
              <w:right w:val="single" w:color="auto" w:sz="4" w:space="0"/>
            </w:tcBorders>
            <w:vAlign w:val="center"/>
          </w:tcPr>
          <w:p w14:paraId="5FF9660A">
            <w:pPr>
              <w:spacing w:line="320" w:lineRule="exact"/>
              <w:ind w:firstLine="0" w:firstLineChars="0"/>
              <w:jc w:val="center"/>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eastAsia" w:eastAsia="仿宋" w:cs="Times New Roman"/>
                <w:color w:val="000000" w:themeColor="text1"/>
                <w:sz w:val="24"/>
                <w:szCs w:val="24"/>
                <w:lang w:eastAsia="zh-CN"/>
                <w14:textFill>
                  <w14:solidFill>
                    <w14:schemeClr w14:val="tx1"/>
                  </w14:solidFill>
                </w14:textFill>
              </w:rPr>
              <w:t>*</w:t>
            </w:r>
            <w:r>
              <w:rPr>
                <w:rFonts w:hint="default" w:ascii="Times New Roman" w:hAnsi="Times New Roman" w:eastAsia="仿宋" w:cs="Times New Roman"/>
                <w:color w:val="000000" w:themeColor="text1"/>
                <w:sz w:val="24"/>
                <w:szCs w:val="24"/>
                <w14:textFill>
                  <w14:solidFill>
                    <w14:schemeClr w14:val="tx1"/>
                  </w14:solidFill>
                </w14:textFill>
              </w:rPr>
              <w:t>、非甲烷总烃</w:t>
            </w:r>
            <w:r>
              <w:rPr>
                <w:rFonts w:hint="default" w:ascii="Times New Roman" w:hAnsi="Times New Roman" w:eastAsia="仿宋" w:cs="Times New Roman"/>
                <w:color w:val="000000" w:themeColor="text1"/>
                <w:sz w:val="24"/>
                <w:szCs w:val="24"/>
                <w:lang w:eastAsia="zh-CN"/>
                <w14:textFill>
                  <w14:solidFill>
                    <w14:schemeClr w14:val="tx1"/>
                  </w14:solidFill>
                </w14:textFill>
              </w:rPr>
              <w:t>、</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油雾、恶臭</w:t>
            </w:r>
          </w:p>
        </w:tc>
        <w:tc>
          <w:tcPr>
            <w:tcW w:w="1126" w:type="dxa"/>
            <w:vMerge w:val="restart"/>
            <w:tcBorders>
              <w:top w:val="single" w:color="auto" w:sz="4" w:space="0"/>
              <w:left w:val="single" w:color="auto" w:sz="4" w:space="0"/>
              <w:right w:val="nil"/>
            </w:tcBorders>
            <w:vAlign w:val="center"/>
          </w:tcPr>
          <w:p w14:paraId="31A7D574">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3次/天，连续2天</w:t>
            </w:r>
          </w:p>
          <w:p w14:paraId="691063D9">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p>
        </w:tc>
      </w:tr>
      <w:tr w14:paraId="60E84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19" w:hRule="atLeast"/>
          <w:jc w:val="center"/>
        </w:trPr>
        <w:tc>
          <w:tcPr>
            <w:tcW w:w="1141" w:type="dxa"/>
            <w:vMerge w:val="continue"/>
            <w:tcBorders>
              <w:left w:val="nil"/>
              <w:right w:val="single" w:color="auto" w:sz="4" w:space="0"/>
            </w:tcBorders>
            <w:vAlign w:val="center"/>
          </w:tcPr>
          <w:p w14:paraId="319E70D2">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12" w:space="0"/>
              <w:right w:val="single" w:color="auto" w:sz="4" w:space="0"/>
            </w:tcBorders>
            <w:vAlign w:val="center"/>
          </w:tcPr>
          <w:p w14:paraId="796F1320">
            <w:pPr>
              <w:pStyle w:val="45"/>
              <w:autoSpaceDE w:val="0"/>
              <w:autoSpaceDN w:val="0"/>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szCs w:val="21"/>
              </w:rPr>
              <w:t>DA011进口</w:t>
            </w:r>
          </w:p>
        </w:tc>
        <w:tc>
          <w:tcPr>
            <w:tcW w:w="3506" w:type="dxa"/>
            <w:vMerge w:val="restart"/>
            <w:tcBorders>
              <w:top w:val="single" w:color="auto" w:sz="4" w:space="0"/>
              <w:left w:val="single" w:color="auto" w:sz="4" w:space="0"/>
              <w:right w:val="single" w:color="auto" w:sz="4" w:space="0"/>
            </w:tcBorders>
            <w:vAlign w:val="center"/>
          </w:tcPr>
          <w:p w14:paraId="58DE077F">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油雾</w:t>
            </w:r>
          </w:p>
        </w:tc>
        <w:tc>
          <w:tcPr>
            <w:tcW w:w="1126" w:type="dxa"/>
            <w:vMerge w:val="continue"/>
            <w:tcBorders>
              <w:left w:val="single" w:color="auto" w:sz="4" w:space="0"/>
              <w:right w:val="nil"/>
            </w:tcBorders>
            <w:vAlign w:val="center"/>
          </w:tcPr>
          <w:p w14:paraId="5A6049AE">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p>
        </w:tc>
      </w:tr>
      <w:tr w14:paraId="03629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19" w:hRule="atLeast"/>
          <w:jc w:val="center"/>
        </w:trPr>
        <w:tc>
          <w:tcPr>
            <w:tcW w:w="1141" w:type="dxa"/>
            <w:vMerge w:val="continue"/>
            <w:tcBorders>
              <w:left w:val="nil"/>
              <w:right w:val="single" w:color="auto" w:sz="4" w:space="0"/>
            </w:tcBorders>
            <w:vAlign w:val="center"/>
          </w:tcPr>
          <w:p w14:paraId="7D9F3155">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2552" w:type="dxa"/>
            <w:tcBorders>
              <w:top w:val="single" w:color="auto" w:sz="12" w:space="0"/>
              <w:left w:val="single" w:color="auto" w:sz="4" w:space="0"/>
              <w:bottom w:val="single" w:color="auto" w:sz="4" w:space="0"/>
              <w:right w:val="single" w:color="auto" w:sz="4" w:space="0"/>
            </w:tcBorders>
            <w:vAlign w:val="center"/>
          </w:tcPr>
          <w:p w14:paraId="384CF1C0">
            <w:pPr>
              <w:pStyle w:val="45"/>
              <w:autoSpaceDE w:val="0"/>
              <w:autoSpaceDN w:val="0"/>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szCs w:val="21"/>
              </w:rPr>
              <w:t>DA011出</w:t>
            </w:r>
            <w:r>
              <w:rPr>
                <w:rFonts w:hint="default" w:ascii="Times New Roman" w:hAnsi="Times New Roman" w:eastAsia="仿宋" w:cs="Times New Roman"/>
                <w:color w:val="000000"/>
                <w:szCs w:val="21"/>
                <w:lang w:val="en-US" w:eastAsia="zh-CN"/>
              </w:rPr>
              <w:t>口</w:t>
            </w:r>
          </w:p>
        </w:tc>
        <w:tc>
          <w:tcPr>
            <w:tcW w:w="3506" w:type="dxa"/>
            <w:vMerge w:val="continue"/>
            <w:tcBorders>
              <w:left w:val="single" w:color="auto" w:sz="4" w:space="0"/>
              <w:bottom w:val="single" w:color="auto" w:sz="4" w:space="0"/>
              <w:right w:val="single" w:color="auto" w:sz="4" w:space="0"/>
            </w:tcBorders>
            <w:vAlign w:val="center"/>
          </w:tcPr>
          <w:p w14:paraId="3F8D2029">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1126" w:type="dxa"/>
            <w:vMerge w:val="continue"/>
            <w:tcBorders>
              <w:left w:val="single" w:color="auto" w:sz="4" w:space="0"/>
              <w:right w:val="nil"/>
            </w:tcBorders>
            <w:vAlign w:val="center"/>
          </w:tcPr>
          <w:p w14:paraId="1528ED83">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p>
        </w:tc>
      </w:tr>
      <w:tr w14:paraId="0150E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19" w:hRule="atLeast"/>
          <w:jc w:val="center"/>
        </w:trPr>
        <w:tc>
          <w:tcPr>
            <w:tcW w:w="1141" w:type="dxa"/>
            <w:vMerge w:val="continue"/>
            <w:tcBorders>
              <w:left w:val="nil"/>
              <w:right w:val="single" w:color="auto" w:sz="4" w:space="0"/>
            </w:tcBorders>
            <w:vAlign w:val="center"/>
          </w:tcPr>
          <w:p w14:paraId="45E6992A">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2552" w:type="dxa"/>
            <w:tcBorders>
              <w:top w:val="single" w:color="auto" w:sz="12" w:space="0"/>
              <w:left w:val="single" w:color="auto" w:sz="4" w:space="0"/>
              <w:bottom w:val="single" w:color="auto" w:sz="4" w:space="0"/>
              <w:right w:val="single" w:color="auto" w:sz="4" w:space="0"/>
            </w:tcBorders>
            <w:shd w:val="clear" w:color="auto" w:fill="auto"/>
            <w:vAlign w:val="center"/>
          </w:tcPr>
          <w:p w14:paraId="5496F781">
            <w:pPr>
              <w:spacing w:line="320" w:lineRule="exact"/>
              <w:ind w:firstLine="0" w:firstLineChars="0"/>
              <w:jc w:val="cente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DA00</w:t>
            </w:r>
            <w:r>
              <w:rPr>
                <w:rFonts w:hint="eastAsia" w:eastAsia="仿宋" w:cs="Times New Roman"/>
                <w:color w:val="000000" w:themeColor="text1"/>
                <w:sz w:val="24"/>
                <w:szCs w:val="24"/>
                <w:lang w:val="en-US" w:eastAsia="zh-CN"/>
                <w14:textFill>
                  <w14:solidFill>
                    <w14:schemeClr w14:val="tx1"/>
                  </w14:solidFill>
                </w14:textFill>
              </w:rPr>
              <w:t>7</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出口</w:t>
            </w:r>
          </w:p>
        </w:tc>
        <w:tc>
          <w:tcPr>
            <w:tcW w:w="3506" w:type="dxa"/>
            <w:tcBorders>
              <w:left w:val="single" w:color="auto" w:sz="4" w:space="0"/>
              <w:bottom w:val="single" w:color="auto" w:sz="4" w:space="0"/>
              <w:right w:val="single" w:color="auto" w:sz="4" w:space="0"/>
            </w:tcBorders>
            <w:shd w:val="clear" w:color="auto" w:fill="auto"/>
            <w:vAlign w:val="center"/>
          </w:tcPr>
          <w:p w14:paraId="235B344C">
            <w:pPr>
              <w:spacing w:line="320" w:lineRule="exact"/>
              <w:ind w:firstLine="0" w:firstLineChars="0"/>
              <w:jc w:val="cente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pPr>
            <w:r>
              <w:rPr>
                <w:rFonts w:hint="eastAsia" w:eastAsia="仿宋" w:cs="Times New Roman"/>
                <w:color w:val="000000" w:themeColor="text1"/>
                <w:sz w:val="24"/>
                <w:szCs w:val="24"/>
                <w:lang w:eastAsia="zh-CN"/>
                <w14:textFill>
                  <w14:solidFill>
                    <w14:schemeClr w14:val="tx1"/>
                  </w14:solidFill>
                </w14:textFill>
              </w:rPr>
              <w:t>*</w:t>
            </w:r>
            <w:r>
              <w:rPr>
                <w:rFonts w:hint="default" w:ascii="Times New Roman" w:hAnsi="Times New Roman" w:eastAsia="仿宋" w:cs="Times New Roman"/>
                <w:color w:val="000000" w:themeColor="text1"/>
                <w:sz w:val="24"/>
                <w:szCs w:val="24"/>
                <w14:textFill>
                  <w14:solidFill>
                    <w14:schemeClr w14:val="tx1"/>
                  </w14:solidFill>
                </w14:textFill>
              </w:rPr>
              <w:t>、非甲烷总烃</w:t>
            </w:r>
            <w:r>
              <w:rPr>
                <w:rFonts w:hint="default" w:ascii="Times New Roman" w:hAnsi="Times New Roman" w:eastAsia="仿宋" w:cs="Times New Roman"/>
                <w:color w:val="000000" w:themeColor="text1"/>
                <w:sz w:val="24"/>
                <w:szCs w:val="24"/>
                <w:lang w:eastAsia="zh-CN"/>
                <w14:textFill>
                  <w14:solidFill>
                    <w14:schemeClr w14:val="tx1"/>
                  </w14:solidFill>
                </w14:textFill>
              </w:rPr>
              <w:t>、</w:t>
            </w:r>
            <w:r>
              <w:rPr>
                <w:rFonts w:hint="eastAsia" w:eastAsia="仿宋" w:cs="Times New Roman"/>
                <w:color w:val="000000" w:themeColor="text1"/>
                <w:sz w:val="24"/>
                <w:szCs w:val="24"/>
                <w:lang w:val="en-US" w:eastAsia="zh-CN"/>
                <w14:textFill>
                  <w14:solidFill>
                    <w14:schemeClr w14:val="tx1"/>
                  </w14:solidFill>
                </w14:textFill>
              </w:rPr>
              <w:t>油雾</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、恶臭</w:t>
            </w:r>
          </w:p>
        </w:tc>
        <w:tc>
          <w:tcPr>
            <w:tcW w:w="1126" w:type="dxa"/>
            <w:vMerge w:val="continue"/>
            <w:tcBorders>
              <w:left w:val="single" w:color="auto" w:sz="4" w:space="0"/>
              <w:right w:val="nil"/>
            </w:tcBorders>
            <w:vAlign w:val="center"/>
          </w:tcPr>
          <w:p w14:paraId="11BB05BD">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p>
        </w:tc>
      </w:tr>
      <w:tr w14:paraId="06A21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19" w:hRule="atLeast"/>
          <w:jc w:val="center"/>
        </w:trPr>
        <w:tc>
          <w:tcPr>
            <w:tcW w:w="1141" w:type="dxa"/>
            <w:vMerge w:val="continue"/>
            <w:tcBorders>
              <w:left w:val="nil"/>
              <w:bottom w:val="single" w:color="auto" w:sz="4" w:space="0"/>
              <w:right w:val="single" w:color="auto" w:sz="4" w:space="0"/>
            </w:tcBorders>
            <w:vAlign w:val="center"/>
          </w:tcPr>
          <w:p w14:paraId="5F87EACD">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4C5B0954">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DA00</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8出口</w:t>
            </w:r>
          </w:p>
        </w:tc>
        <w:tc>
          <w:tcPr>
            <w:tcW w:w="3506" w:type="dxa"/>
            <w:tcBorders>
              <w:top w:val="single" w:color="auto" w:sz="4" w:space="0"/>
              <w:left w:val="single" w:color="auto" w:sz="4" w:space="0"/>
              <w:bottom w:val="single" w:color="auto" w:sz="4" w:space="0"/>
              <w:right w:val="single" w:color="auto" w:sz="4" w:space="0"/>
            </w:tcBorders>
            <w:vAlign w:val="center"/>
          </w:tcPr>
          <w:p w14:paraId="32D6D83D">
            <w:pPr>
              <w:spacing w:line="320" w:lineRule="exact"/>
              <w:ind w:firstLine="0" w:firstLineChars="0"/>
              <w:jc w:val="center"/>
              <w:rPr>
                <w:rFonts w:hint="default" w:ascii="Times New Roman" w:hAnsi="Times New Roman" w:eastAsia="仿宋" w:cs="Times New Roman"/>
                <w:color w:val="000000" w:themeColor="text1"/>
                <w:sz w:val="24"/>
                <w:szCs w:val="24"/>
                <w:lang w:val="en-US"/>
                <w14:textFill>
                  <w14:solidFill>
                    <w14:schemeClr w14:val="tx1"/>
                  </w14:solidFill>
                </w14:textFill>
              </w:rPr>
            </w:pPr>
            <w:r>
              <w:rPr>
                <w:rFonts w:hint="eastAsia" w:eastAsia="仿宋" w:cs="Times New Roman"/>
                <w:color w:val="000000" w:themeColor="text1"/>
                <w:sz w:val="24"/>
                <w:szCs w:val="24"/>
                <w:lang w:eastAsia="zh-CN"/>
                <w14:textFill>
                  <w14:solidFill>
                    <w14:schemeClr w14:val="tx1"/>
                  </w14:solidFill>
                </w14:textFill>
              </w:rPr>
              <w:t>*</w:t>
            </w:r>
            <w:r>
              <w:rPr>
                <w:rFonts w:hint="default" w:ascii="Times New Roman" w:hAnsi="Times New Roman" w:eastAsia="仿宋" w:cs="Times New Roman"/>
                <w:color w:val="000000" w:themeColor="text1"/>
                <w:sz w:val="24"/>
                <w:szCs w:val="24"/>
                <w14:textFill>
                  <w14:solidFill>
                    <w14:schemeClr w14:val="tx1"/>
                  </w14:solidFill>
                </w14:textFill>
              </w:rPr>
              <w:t>、非甲烷总烃</w:t>
            </w:r>
            <w:r>
              <w:rPr>
                <w:rFonts w:hint="default" w:ascii="Times New Roman" w:hAnsi="Times New Roman" w:eastAsia="仿宋" w:cs="Times New Roman"/>
                <w:color w:val="000000" w:themeColor="text1"/>
                <w:sz w:val="24"/>
                <w:szCs w:val="24"/>
                <w:lang w:eastAsia="zh-CN"/>
                <w14:textFill>
                  <w14:solidFill>
                    <w14:schemeClr w14:val="tx1"/>
                  </w14:solidFill>
                </w14:textFill>
              </w:rPr>
              <w:t>、</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硫化氢、氨气、恶臭</w:t>
            </w:r>
          </w:p>
        </w:tc>
        <w:tc>
          <w:tcPr>
            <w:tcW w:w="1126" w:type="dxa"/>
            <w:vMerge w:val="continue"/>
            <w:tcBorders>
              <w:left w:val="single" w:color="auto" w:sz="4" w:space="0"/>
              <w:bottom w:val="single" w:color="auto" w:sz="4" w:space="0"/>
              <w:right w:val="nil"/>
            </w:tcBorders>
            <w:vAlign w:val="center"/>
          </w:tcPr>
          <w:p w14:paraId="7A26BFF6">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p>
        </w:tc>
      </w:tr>
      <w:tr w14:paraId="78969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82" w:hRule="atLeast"/>
          <w:jc w:val="center"/>
        </w:trPr>
        <w:tc>
          <w:tcPr>
            <w:tcW w:w="1141" w:type="dxa"/>
            <w:vMerge w:val="restart"/>
            <w:tcBorders>
              <w:top w:val="single" w:color="auto" w:sz="4" w:space="0"/>
              <w:left w:val="nil"/>
              <w:right w:val="single" w:color="auto" w:sz="4" w:space="0"/>
            </w:tcBorders>
            <w:vAlign w:val="center"/>
          </w:tcPr>
          <w:p w14:paraId="479CE2A6">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无组织</w:t>
            </w:r>
          </w:p>
          <w:p w14:paraId="3ECDD1B3">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废气</w:t>
            </w:r>
          </w:p>
        </w:tc>
        <w:tc>
          <w:tcPr>
            <w:tcW w:w="2552" w:type="dxa"/>
            <w:tcBorders>
              <w:top w:val="single" w:color="auto" w:sz="4" w:space="0"/>
              <w:left w:val="single" w:color="auto" w:sz="4" w:space="0"/>
              <w:bottom w:val="single" w:color="auto" w:sz="4" w:space="0"/>
              <w:right w:val="single" w:color="auto" w:sz="4" w:space="0"/>
            </w:tcBorders>
            <w:vAlign w:val="center"/>
          </w:tcPr>
          <w:p w14:paraId="6A7117CF">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厂界上风向布设一个点，下风向布设3个点</w:t>
            </w:r>
          </w:p>
        </w:tc>
        <w:tc>
          <w:tcPr>
            <w:tcW w:w="3506" w:type="dxa"/>
            <w:tcBorders>
              <w:top w:val="single" w:color="auto" w:sz="4" w:space="0"/>
              <w:left w:val="single" w:color="auto" w:sz="4" w:space="0"/>
              <w:bottom w:val="single" w:color="auto" w:sz="4" w:space="0"/>
              <w:right w:val="single" w:color="auto" w:sz="4" w:space="0"/>
            </w:tcBorders>
            <w:vAlign w:val="center"/>
          </w:tcPr>
          <w:p w14:paraId="2860290C">
            <w:pPr>
              <w:spacing w:line="320" w:lineRule="exact"/>
              <w:ind w:firstLine="0" w:firstLineChars="0"/>
              <w:jc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eastAsia" w:eastAsia="仿宋" w:cs="Times New Roman"/>
                <w:color w:val="000000" w:themeColor="text1"/>
                <w:sz w:val="24"/>
                <w:szCs w:val="24"/>
                <w:lang w:eastAsia="zh-CN"/>
                <w14:textFill>
                  <w14:solidFill>
                    <w14:schemeClr w14:val="tx1"/>
                  </w14:solidFill>
                </w14:textFill>
              </w:rPr>
              <w:t>*</w:t>
            </w:r>
            <w:r>
              <w:rPr>
                <w:rFonts w:hint="default" w:ascii="Times New Roman" w:hAnsi="Times New Roman" w:eastAsia="仿宋" w:cs="Times New Roman"/>
                <w:color w:val="000000" w:themeColor="text1"/>
                <w:sz w:val="24"/>
                <w:szCs w:val="24"/>
                <w14:textFill>
                  <w14:solidFill>
                    <w14:schemeClr w14:val="tx1"/>
                  </w14:solidFill>
                </w14:textFill>
              </w:rPr>
              <w:t>、</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油雾、氨气、硫化氢、</w:t>
            </w:r>
            <w:r>
              <w:rPr>
                <w:rFonts w:hint="default" w:ascii="Times New Roman" w:hAnsi="Times New Roman" w:eastAsia="仿宋" w:cs="Times New Roman"/>
                <w:color w:val="000000" w:themeColor="text1"/>
                <w:sz w:val="24"/>
                <w:szCs w:val="24"/>
                <w14:textFill>
                  <w14:solidFill>
                    <w14:schemeClr w14:val="tx1"/>
                  </w14:solidFill>
                </w14:textFill>
              </w:rPr>
              <w:t>非甲烷总烃、</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恶臭</w:t>
            </w:r>
          </w:p>
        </w:tc>
        <w:tc>
          <w:tcPr>
            <w:tcW w:w="1126" w:type="dxa"/>
            <w:vMerge w:val="restart"/>
            <w:tcBorders>
              <w:top w:val="single" w:color="auto" w:sz="4" w:space="0"/>
              <w:left w:val="single" w:color="auto" w:sz="4" w:space="0"/>
              <w:right w:val="nil"/>
            </w:tcBorders>
            <w:vAlign w:val="center"/>
          </w:tcPr>
          <w:p w14:paraId="3A6C7C7C">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3次/天，连续2天</w:t>
            </w:r>
          </w:p>
          <w:p w14:paraId="046855B3">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p>
        </w:tc>
      </w:tr>
      <w:tr w14:paraId="016D9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82" w:hRule="atLeast"/>
          <w:jc w:val="center"/>
        </w:trPr>
        <w:tc>
          <w:tcPr>
            <w:tcW w:w="1141" w:type="dxa"/>
            <w:vMerge w:val="continue"/>
            <w:tcBorders>
              <w:left w:val="nil"/>
              <w:bottom w:val="single" w:color="auto" w:sz="12" w:space="0"/>
              <w:right w:val="single" w:color="auto" w:sz="4" w:space="0"/>
            </w:tcBorders>
            <w:vAlign w:val="center"/>
          </w:tcPr>
          <w:p w14:paraId="68DD0F1A">
            <w:pPr>
              <w:spacing w:line="320" w:lineRule="exact"/>
              <w:ind w:firstLine="0" w:firstLineChars="0"/>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12" w:space="0"/>
              <w:right w:val="single" w:color="auto" w:sz="4" w:space="0"/>
            </w:tcBorders>
            <w:vAlign w:val="center"/>
          </w:tcPr>
          <w:p w14:paraId="4F467AF0">
            <w:pPr>
              <w:pStyle w:val="45"/>
              <w:jc w:val="center"/>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color w:val="000000"/>
                <w:sz w:val="24"/>
                <w:szCs w:val="24"/>
                <w:lang w:val="en-US" w:eastAsia="zh-CN" w:bidi="ar-SA"/>
              </w:rPr>
              <w:t>厂区内车间五外</w:t>
            </w:r>
          </w:p>
        </w:tc>
        <w:tc>
          <w:tcPr>
            <w:tcW w:w="3506" w:type="dxa"/>
            <w:tcBorders>
              <w:top w:val="single" w:color="auto" w:sz="4" w:space="0"/>
              <w:left w:val="single" w:color="auto" w:sz="4" w:space="0"/>
              <w:bottom w:val="single" w:color="auto" w:sz="12" w:space="0"/>
              <w:right w:val="single" w:color="auto" w:sz="4" w:space="0"/>
            </w:tcBorders>
            <w:vAlign w:val="center"/>
          </w:tcPr>
          <w:p w14:paraId="5FF25921">
            <w:pPr>
              <w:pStyle w:val="45"/>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kern w:val="2"/>
                <w:sz w:val="24"/>
                <w:szCs w:val="24"/>
                <w:lang w:val="en-US"/>
              </w:rPr>
              <w:t>非甲烷总烃</w:t>
            </w:r>
          </w:p>
        </w:tc>
        <w:tc>
          <w:tcPr>
            <w:tcW w:w="1126" w:type="dxa"/>
            <w:vMerge w:val="continue"/>
            <w:tcBorders>
              <w:left w:val="single" w:color="auto" w:sz="4" w:space="0"/>
              <w:right w:val="nil"/>
            </w:tcBorders>
            <w:vAlign w:val="center"/>
          </w:tcPr>
          <w:p w14:paraId="0DEF276D">
            <w:pPr>
              <w:spacing w:line="320" w:lineRule="exact"/>
              <w:ind w:firstLine="0" w:firstLineChars="0"/>
              <w:jc w:val="center"/>
              <w:rPr>
                <w:rFonts w:hint="default" w:ascii="Times New Roman" w:hAnsi="Times New Roman" w:eastAsia="仿宋" w:cs="Times New Roman"/>
                <w:color w:val="000000" w:themeColor="text1"/>
                <w:szCs w:val="24"/>
                <w14:textFill>
                  <w14:solidFill>
                    <w14:schemeClr w14:val="tx1"/>
                  </w14:solidFill>
                </w14:textFill>
              </w:rPr>
            </w:pPr>
          </w:p>
        </w:tc>
      </w:tr>
    </w:tbl>
    <w:p w14:paraId="1E90A1AB">
      <w:pPr>
        <w:pStyle w:val="10"/>
        <w:keepNext w:val="0"/>
        <w:keepLines w:val="0"/>
        <w:pageBreakBefore w:val="0"/>
        <w:widowControl w:val="0"/>
        <w:kinsoku/>
        <w:wordWrap/>
        <w:overflowPunct/>
        <w:topLinePunct w:val="0"/>
        <w:autoSpaceDE/>
        <w:autoSpaceDN/>
        <w:bidi w:val="0"/>
        <w:adjustRightInd w:val="0"/>
        <w:snapToGrid w:val="0"/>
        <w:spacing w:line="240" w:lineRule="auto"/>
        <w:ind w:firstLine="560"/>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b/>
          <w:bCs/>
          <w:sz w:val="24"/>
          <w:szCs w:val="24"/>
          <w:lang w:val="en-US" w:eastAsia="zh-CN"/>
        </w:rPr>
        <w:t>情况说明</w:t>
      </w:r>
      <w:r>
        <w:rPr>
          <w:rFonts w:hint="default" w:ascii="Times New Roman" w:hAnsi="Times New Roman" w:eastAsia="仿宋" w:cs="Times New Roman"/>
          <w:sz w:val="24"/>
          <w:szCs w:val="24"/>
          <w:lang w:val="en-US" w:eastAsia="zh-CN"/>
        </w:rPr>
        <w:t>：</w:t>
      </w:r>
      <w: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t>1、车间五</w:t>
      </w:r>
      <w:r>
        <w:rPr>
          <w:rFonts w:hint="eastAsia" w:ascii="Times New Roman" w:hAnsi="Times New Roman" w:eastAsia="仿宋" w:cs="Times New Roman"/>
          <w:color w:val="000000" w:themeColor="text1"/>
          <w:sz w:val="24"/>
          <w:szCs w:val="24"/>
          <w:lang w:val="en-US" w:eastAsia="zh-CN" w:bidi="ar-SA"/>
          <w14:textFill>
            <w14:solidFill>
              <w14:schemeClr w14:val="tx1"/>
            </w14:solidFill>
          </w14:textFill>
        </w:rPr>
        <w:t>DA012</w:t>
      </w:r>
      <w: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t>废气进口处不具备采样条件，故无法考察此处理工段的效率。2、本次危废库废气、罐区废气、污水站废气依托现有处理设施及排气筒DA008，新增废气</w:t>
      </w:r>
      <w:r>
        <w:rPr>
          <w:rFonts w:hint="eastAsia" w:ascii="Times New Roman" w:hAnsi="Times New Roman" w:eastAsia="仿宋" w:cs="Times New Roman"/>
          <w:color w:val="000000" w:themeColor="text1"/>
          <w:sz w:val="24"/>
          <w:szCs w:val="24"/>
          <w:lang w:val="en-US" w:eastAsia="zh-CN" w:bidi="ar-SA"/>
          <w14:textFill>
            <w14:solidFill>
              <w14:schemeClr w14:val="tx1"/>
            </w14:solidFill>
          </w14:textFill>
        </w:rPr>
        <w:t>性质</w:t>
      </w:r>
      <w:r>
        <w:rPr>
          <w:rFonts w:hint="default" w:ascii="Times New Roman" w:hAnsi="Times New Roman" w:eastAsia="仿宋" w:cs="Times New Roman"/>
          <w:color w:val="000000" w:themeColor="text1"/>
          <w:sz w:val="24"/>
          <w:szCs w:val="24"/>
          <w:lang w:val="en-US" w:eastAsia="zh-CN" w:bidi="ar-SA"/>
          <w14:textFill>
            <w14:solidFill>
              <w14:schemeClr w14:val="tx1"/>
            </w14:solidFill>
          </w14:textFill>
        </w:rPr>
        <w:t>与现有废气污染源一致，无新增污染物，故本次仅对总排口进行监测。</w:t>
      </w:r>
    </w:p>
    <w:p w14:paraId="2C3C41C8">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项目无组织废气监测点位、因子和频次见表7.2-2，无组织废气监测点位示意见图7.2-2、7.2-3。</w:t>
      </w:r>
    </w:p>
    <w:p w14:paraId="44891DEA">
      <w:pPr>
        <w:spacing w:line="480" w:lineRule="exact"/>
        <w:ind w:firstLine="0" w:firstLineChars="0"/>
        <w:jc w:val="center"/>
        <w:rPr>
          <w:rFonts w:hint="default" w:ascii="Times New Roman" w:hAnsi="Times New Roman" w:cs="Times New Roman"/>
          <w:b/>
          <w:bCs/>
          <w:color w:val="000000"/>
        </w:rPr>
      </w:pPr>
      <w:r>
        <w:rPr>
          <w:rFonts w:hint="default" w:ascii="Times New Roman" w:hAnsi="Times New Roman" w:cs="Times New Roman"/>
          <w:b/>
          <w:bCs/>
          <w:color w:val="000000"/>
        </w:rPr>
        <w:t>表7.2-2  项目无组织废气监测情况一览表</w:t>
      </w:r>
    </w:p>
    <w:tbl>
      <w:tblPr>
        <w:tblStyle w:val="25"/>
        <w:tblW w:w="582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011"/>
        <w:gridCol w:w="2473"/>
        <w:gridCol w:w="3186"/>
        <w:gridCol w:w="1085"/>
        <w:gridCol w:w="1177"/>
      </w:tblGrid>
      <w:tr w14:paraId="5BDFEC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pct"/>
            <w:vAlign w:val="center"/>
          </w:tcPr>
          <w:p w14:paraId="3B0EC180">
            <w:pPr>
              <w:snapToGrid w:val="0"/>
              <w:spacing w:line="360" w:lineRule="exact"/>
              <w:ind w:firstLine="0" w:firstLineChars="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点位名称</w:t>
            </w:r>
          </w:p>
        </w:tc>
        <w:tc>
          <w:tcPr>
            <w:tcW w:w="1244" w:type="pct"/>
            <w:vAlign w:val="center"/>
          </w:tcPr>
          <w:p w14:paraId="3981CE52">
            <w:pPr>
              <w:snapToGrid w:val="0"/>
              <w:spacing w:line="360" w:lineRule="exact"/>
              <w:ind w:firstLine="0" w:firstLineChars="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点位编号</w:t>
            </w:r>
          </w:p>
        </w:tc>
        <w:tc>
          <w:tcPr>
            <w:tcW w:w="1603" w:type="pct"/>
            <w:tcBorders>
              <w:right w:val="single" w:color="auto" w:sz="4" w:space="0"/>
            </w:tcBorders>
            <w:vAlign w:val="center"/>
          </w:tcPr>
          <w:p w14:paraId="1016B989">
            <w:pPr>
              <w:snapToGrid w:val="0"/>
              <w:spacing w:line="360" w:lineRule="exact"/>
              <w:ind w:firstLine="0" w:firstLineChars="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监测内容</w:t>
            </w:r>
          </w:p>
        </w:tc>
        <w:tc>
          <w:tcPr>
            <w:tcW w:w="546" w:type="pct"/>
            <w:tcBorders>
              <w:left w:val="single" w:color="auto" w:sz="4" w:space="0"/>
            </w:tcBorders>
            <w:vAlign w:val="center"/>
          </w:tcPr>
          <w:p w14:paraId="475B2744">
            <w:pPr>
              <w:snapToGrid w:val="0"/>
              <w:spacing w:line="360" w:lineRule="exact"/>
              <w:ind w:firstLine="0" w:firstLineChars="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备注</w:t>
            </w:r>
          </w:p>
        </w:tc>
        <w:tc>
          <w:tcPr>
            <w:tcW w:w="592" w:type="pct"/>
            <w:vAlign w:val="center"/>
          </w:tcPr>
          <w:p w14:paraId="11E6AD31">
            <w:pPr>
              <w:snapToGrid w:val="0"/>
              <w:spacing w:line="360" w:lineRule="exact"/>
              <w:ind w:firstLine="0" w:firstLineChars="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监测</w:t>
            </w:r>
          </w:p>
          <w:p w14:paraId="0FE742DB">
            <w:pPr>
              <w:snapToGrid w:val="0"/>
              <w:spacing w:line="360" w:lineRule="exact"/>
              <w:ind w:firstLine="0" w:firstLineChars="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频次</w:t>
            </w:r>
          </w:p>
        </w:tc>
      </w:tr>
      <w:tr w14:paraId="75227B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1012" w:type="pct"/>
            <w:vAlign w:val="center"/>
          </w:tcPr>
          <w:p w14:paraId="4544D14F">
            <w:pPr>
              <w:snapToGrid w:val="0"/>
              <w:spacing w:line="360" w:lineRule="exact"/>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厂区上风向1点，下风向3点</w:t>
            </w:r>
          </w:p>
        </w:tc>
        <w:tc>
          <w:tcPr>
            <w:tcW w:w="1244" w:type="pct"/>
            <w:vAlign w:val="center"/>
          </w:tcPr>
          <w:p w14:paraId="79D2FE8B">
            <w:pPr>
              <w:snapToGrid w:val="0"/>
              <w:spacing w:line="360" w:lineRule="exact"/>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g1-g4</w:t>
            </w:r>
          </w:p>
        </w:tc>
        <w:tc>
          <w:tcPr>
            <w:tcW w:w="1603" w:type="pct"/>
            <w:tcBorders>
              <w:bottom w:val="single" w:color="auto" w:sz="4" w:space="0"/>
              <w:right w:val="single" w:color="auto" w:sz="4" w:space="0"/>
            </w:tcBorders>
            <w:vAlign w:val="center"/>
          </w:tcPr>
          <w:p w14:paraId="4CFCD0E2">
            <w:pPr>
              <w:spacing w:line="320" w:lineRule="exact"/>
              <w:ind w:firstLine="0" w:firstLineChars="0"/>
              <w:jc w:val="center"/>
              <w:rPr>
                <w:rFonts w:hint="default" w:ascii="Times New Roman" w:hAnsi="Times New Roman" w:eastAsia="仿宋" w:cs="Times New Roman"/>
                <w:sz w:val="24"/>
                <w:szCs w:val="24"/>
              </w:rPr>
            </w:pPr>
            <w:r>
              <w:rPr>
                <w:rFonts w:hint="eastAsia" w:eastAsia="仿宋" w:cs="Times New Roman"/>
                <w:color w:val="000000" w:themeColor="text1"/>
                <w:sz w:val="24"/>
                <w:szCs w:val="24"/>
                <w:lang w:eastAsia="zh-CN"/>
                <w14:textFill>
                  <w14:solidFill>
                    <w14:schemeClr w14:val="tx1"/>
                  </w14:solidFill>
                </w14:textFill>
              </w:rPr>
              <w:t>*</w:t>
            </w:r>
            <w:r>
              <w:rPr>
                <w:rFonts w:hint="default" w:ascii="Times New Roman" w:hAnsi="Times New Roman" w:eastAsia="仿宋" w:cs="Times New Roman"/>
                <w:color w:val="000000" w:themeColor="text1"/>
                <w:sz w:val="24"/>
                <w:szCs w:val="24"/>
                <w14:textFill>
                  <w14:solidFill>
                    <w14:schemeClr w14:val="tx1"/>
                  </w14:solidFill>
                </w14:textFill>
              </w:rPr>
              <w:t>、</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油雾、氨气、硫化氢、</w:t>
            </w:r>
            <w:r>
              <w:rPr>
                <w:rFonts w:hint="default" w:ascii="Times New Roman" w:hAnsi="Times New Roman" w:eastAsia="仿宋" w:cs="Times New Roman"/>
                <w:color w:val="000000" w:themeColor="text1"/>
                <w:sz w:val="24"/>
                <w:szCs w:val="24"/>
                <w14:textFill>
                  <w14:solidFill>
                    <w14:schemeClr w14:val="tx1"/>
                  </w14:solidFill>
                </w14:textFill>
              </w:rPr>
              <w:t>非甲烷总烃、</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恶臭</w:t>
            </w:r>
          </w:p>
        </w:tc>
        <w:tc>
          <w:tcPr>
            <w:tcW w:w="546" w:type="pct"/>
            <w:tcBorders>
              <w:left w:val="single" w:color="auto" w:sz="4" w:space="0"/>
              <w:bottom w:val="single" w:color="auto" w:sz="4" w:space="0"/>
            </w:tcBorders>
            <w:vAlign w:val="center"/>
          </w:tcPr>
          <w:p w14:paraId="6531E219">
            <w:pPr>
              <w:snapToGrid w:val="0"/>
              <w:spacing w:line="360" w:lineRule="exact"/>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w:t>
            </w:r>
          </w:p>
        </w:tc>
        <w:tc>
          <w:tcPr>
            <w:tcW w:w="592" w:type="pct"/>
            <w:vAlign w:val="center"/>
          </w:tcPr>
          <w:p w14:paraId="170E6382">
            <w:pPr>
              <w:snapToGrid w:val="0"/>
              <w:spacing w:line="360" w:lineRule="exact"/>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2天×3次</w:t>
            </w:r>
          </w:p>
        </w:tc>
      </w:tr>
      <w:tr w14:paraId="09FD61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pct"/>
            <w:vAlign w:val="center"/>
          </w:tcPr>
          <w:p w14:paraId="1E2468B2">
            <w:pPr>
              <w:snapToGrid w:val="0"/>
              <w:spacing w:line="360" w:lineRule="exact"/>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厂区内</w:t>
            </w:r>
          </w:p>
        </w:tc>
        <w:tc>
          <w:tcPr>
            <w:tcW w:w="1244" w:type="pct"/>
            <w:vAlign w:val="center"/>
          </w:tcPr>
          <w:p w14:paraId="38B67A81">
            <w:pPr>
              <w:snapToGrid w:val="0"/>
              <w:spacing w:line="360" w:lineRule="exact"/>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color w:val="000000"/>
                <w:sz w:val="24"/>
                <w:szCs w:val="24"/>
                <w:lang w:val="en-US" w:eastAsia="zh-CN" w:bidi="ar-SA"/>
              </w:rPr>
              <w:t>厂区内车间五外</w:t>
            </w:r>
            <w:r>
              <w:rPr>
                <w:rFonts w:hint="default" w:ascii="Times New Roman" w:hAnsi="Times New Roman" w:eastAsia="仿宋" w:cs="Times New Roman"/>
                <w:sz w:val="24"/>
                <w:szCs w:val="24"/>
              </w:rPr>
              <w:t>g5</w:t>
            </w:r>
          </w:p>
        </w:tc>
        <w:tc>
          <w:tcPr>
            <w:tcW w:w="1603" w:type="pct"/>
            <w:tcBorders>
              <w:right w:val="single" w:color="auto" w:sz="4" w:space="0"/>
            </w:tcBorders>
            <w:vAlign w:val="center"/>
          </w:tcPr>
          <w:p w14:paraId="6B55A591">
            <w:pPr>
              <w:pStyle w:val="45"/>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color w:val="000000"/>
                <w:kern w:val="2"/>
                <w:sz w:val="24"/>
                <w:szCs w:val="24"/>
                <w:lang w:val="en-US"/>
              </w:rPr>
              <w:t>非甲烷总烃</w:t>
            </w:r>
          </w:p>
        </w:tc>
        <w:tc>
          <w:tcPr>
            <w:tcW w:w="546" w:type="pct"/>
            <w:tcBorders>
              <w:left w:val="single" w:color="auto" w:sz="4" w:space="0"/>
            </w:tcBorders>
            <w:vAlign w:val="center"/>
          </w:tcPr>
          <w:p w14:paraId="7AD79FC5">
            <w:pPr>
              <w:snapToGrid w:val="0"/>
              <w:spacing w:line="360" w:lineRule="exact"/>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w:t>
            </w:r>
          </w:p>
        </w:tc>
        <w:tc>
          <w:tcPr>
            <w:tcW w:w="592" w:type="pct"/>
            <w:vAlign w:val="center"/>
          </w:tcPr>
          <w:p w14:paraId="6798A421">
            <w:pPr>
              <w:snapToGrid w:val="0"/>
              <w:spacing w:line="360" w:lineRule="exact"/>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2天×3次</w:t>
            </w:r>
          </w:p>
        </w:tc>
      </w:tr>
    </w:tbl>
    <w:p w14:paraId="44D37BDC">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sz w:val="28"/>
          <w:szCs w:val="28"/>
        </w:rPr>
      </w:pPr>
      <w:r>
        <w:rPr>
          <w:rFonts w:hint="default" w:ascii="Times New Roman" w:hAnsi="Times New Roman" w:cs="Times New Roman"/>
        </w:rPr>
        <w:drawing>
          <wp:inline distT="0" distB="0" distL="114300" distR="114300">
            <wp:extent cx="5611495" cy="6132195"/>
            <wp:effectExtent l="0" t="0" r="1905"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1"/>
                    <a:stretch>
                      <a:fillRect/>
                    </a:stretch>
                  </pic:blipFill>
                  <pic:spPr>
                    <a:xfrm>
                      <a:off x="0" y="0"/>
                      <a:ext cx="5611495" cy="6132195"/>
                    </a:xfrm>
                    <a:prstGeom prst="rect">
                      <a:avLst/>
                    </a:prstGeom>
                    <a:noFill/>
                    <a:ln>
                      <a:noFill/>
                    </a:ln>
                  </pic:spPr>
                </pic:pic>
              </a:graphicData>
            </a:graphic>
          </wp:inline>
        </w:drawing>
      </w:r>
    </w:p>
    <w:p w14:paraId="3D41A8AE">
      <w:pPr>
        <w:pStyle w:val="10"/>
        <w:ind w:firstLine="562"/>
        <w:jc w:val="center"/>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 xml:space="preserve">图7.2-2  </w:t>
      </w:r>
      <w:r>
        <w:rPr>
          <w:rFonts w:hint="default" w:ascii="Times New Roman" w:hAnsi="Times New Roman" w:cs="Times New Roman" w:eastAsiaTheme="minorEastAsia"/>
          <w:b/>
          <w:bCs/>
          <w:sz w:val="28"/>
          <w:szCs w:val="28"/>
          <w:lang w:val="en-US" w:eastAsia="zh-CN"/>
        </w:rPr>
        <w:t>9</w:t>
      </w:r>
      <w:r>
        <w:rPr>
          <w:rFonts w:hint="default" w:ascii="Times New Roman" w:hAnsi="Times New Roman" w:cs="Times New Roman" w:eastAsiaTheme="minorEastAsia"/>
          <w:b/>
          <w:bCs/>
          <w:sz w:val="28"/>
          <w:szCs w:val="28"/>
        </w:rPr>
        <w:t>月</w:t>
      </w:r>
      <w:r>
        <w:rPr>
          <w:rFonts w:hint="default" w:ascii="Times New Roman" w:hAnsi="Times New Roman" w:cs="Times New Roman" w:eastAsiaTheme="minorEastAsia"/>
          <w:b/>
          <w:bCs/>
          <w:sz w:val="28"/>
          <w:szCs w:val="28"/>
          <w:lang w:val="en-US" w:eastAsia="zh-CN"/>
        </w:rPr>
        <w:t>2</w:t>
      </w:r>
      <w:r>
        <w:rPr>
          <w:rFonts w:hint="default" w:ascii="Times New Roman" w:hAnsi="Times New Roman" w:cs="Times New Roman" w:eastAsiaTheme="minorEastAsia"/>
          <w:b/>
          <w:bCs/>
          <w:sz w:val="28"/>
          <w:szCs w:val="28"/>
        </w:rPr>
        <w:t>8日</w:t>
      </w:r>
      <w:r>
        <w:rPr>
          <w:rFonts w:hint="default" w:ascii="Times New Roman" w:hAnsi="Times New Roman" w:eastAsia="仿宋" w:cs="Times New Roman"/>
          <w:sz w:val="21"/>
          <w:szCs w:val="21"/>
        </w:rPr>
        <w:t xml:space="preserve"> </w:t>
      </w:r>
      <w:r>
        <w:rPr>
          <w:rFonts w:hint="default" w:ascii="Times New Roman" w:hAnsi="Times New Roman" w:cs="Times New Roman" w:eastAsiaTheme="minorEastAsia"/>
          <w:b/>
          <w:bCs/>
          <w:sz w:val="28"/>
          <w:szCs w:val="28"/>
        </w:rPr>
        <w:t>g1-g4</w:t>
      </w:r>
      <w:r>
        <w:rPr>
          <w:rFonts w:hint="default" w:ascii="Times New Roman" w:hAnsi="Times New Roman" w:cs="Times New Roman" w:eastAsiaTheme="minorEastAsia"/>
          <w:b/>
          <w:bCs/>
          <w:sz w:val="28"/>
          <w:szCs w:val="28"/>
          <w:lang w:val="en-US" w:eastAsia="zh-CN"/>
        </w:rPr>
        <w:t>废气</w:t>
      </w:r>
      <w:r>
        <w:rPr>
          <w:rFonts w:hint="default" w:ascii="Times New Roman" w:hAnsi="Times New Roman" w:cs="Times New Roman" w:eastAsiaTheme="minorEastAsia"/>
          <w:b/>
          <w:bCs/>
          <w:sz w:val="28"/>
          <w:szCs w:val="28"/>
        </w:rPr>
        <w:t>监测点位示意图</w:t>
      </w:r>
    </w:p>
    <w:p w14:paraId="473442AE">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sz w:val="28"/>
          <w:szCs w:val="28"/>
        </w:rPr>
      </w:pPr>
      <w:r>
        <w:rPr>
          <w:rFonts w:hint="default" w:ascii="Times New Roman" w:hAnsi="Times New Roman" w:cs="Times New Roman"/>
        </w:rPr>
        <w:drawing>
          <wp:inline distT="0" distB="0" distL="114300" distR="114300">
            <wp:extent cx="5478780" cy="6010275"/>
            <wp:effectExtent l="0" t="0" r="7620"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2"/>
                    <a:stretch>
                      <a:fillRect/>
                    </a:stretch>
                  </pic:blipFill>
                  <pic:spPr>
                    <a:xfrm>
                      <a:off x="0" y="0"/>
                      <a:ext cx="5478780" cy="6010275"/>
                    </a:xfrm>
                    <a:prstGeom prst="rect">
                      <a:avLst/>
                    </a:prstGeom>
                    <a:noFill/>
                    <a:ln>
                      <a:noFill/>
                    </a:ln>
                  </pic:spPr>
                </pic:pic>
              </a:graphicData>
            </a:graphic>
          </wp:inline>
        </w:drawing>
      </w:r>
    </w:p>
    <w:p w14:paraId="011E5B5D">
      <w:pPr>
        <w:pStyle w:val="10"/>
        <w:ind w:firstLine="562"/>
        <w:jc w:val="center"/>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 xml:space="preserve">图7.2-3 </w:t>
      </w:r>
      <w:r>
        <w:rPr>
          <w:rFonts w:hint="default" w:ascii="Times New Roman" w:hAnsi="Times New Roman" w:cs="Times New Roman" w:eastAsiaTheme="minorEastAsia"/>
          <w:b/>
          <w:bCs/>
          <w:sz w:val="28"/>
          <w:szCs w:val="28"/>
          <w:lang w:val="en-US" w:eastAsia="zh-CN"/>
        </w:rPr>
        <w:t xml:space="preserve"> 9</w:t>
      </w:r>
      <w:r>
        <w:rPr>
          <w:rFonts w:hint="default" w:ascii="Times New Roman" w:hAnsi="Times New Roman" w:cs="Times New Roman" w:eastAsiaTheme="minorEastAsia"/>
          <w:b/>
          <w:bCs/>
          <w:sz w:val="28"/>
          <w:szCs w:val="28"/>
        </w:rPr>
        <w:t>月</w:t>
      </w:r>
      <w:r>
        <w:rPr>
          <w:rFonts w:hint="default" w:ascii="Times New Roman" w:hAnsi="Times New Roman" w:cs="Times New Roman" w:eastAsiaTheme="minorEastAsia"/>
          <w:b/>
          <w:bCs/>
          <w:sz w:val="28"/>
          <w:szCs w:val="28"/>
          <w:lang w:val="en-US" w:eastAsia="zh-CN"/>
        </w:rPr>
        <w:t>2</w:t>
      </w:r>
      <w:r>
        <w:rPr>
          <w:rFonts w:hint="default" w:ascii="Times New Roman" w:hAnsi="Times New Roman" w:cs="Times New Roman" w:eastAsiaTheme="minorEastAsia"/>
          <w:b/>
          <w:bCs/>
          <w:sz w:val="28"/>
          <w:szCs w:val="28"/>
        </w:rPr>
        <w:t>9日</w:t>
      </w:r>
      <w:r>
        <w:rPr>
          <w:rFonts w:hint="default" w:ascii="Times New Roman" w:hAnsi="Times New Roman" w:eastAsia="仿宋" w:cs="Times New Roman"/>
          <w:sz w:val="21"/>
          <w:szCs w:val="21"/>
        </w:rPr>
        <w:t xml:space="preserve"> </w:t>
      </w:r>
      <w:r>
        <w:rPr>
          <w:rFonts w:hint="default" w:ascii="Times New Roman" w:hAnsi="Times New Roman" w:cs="Times New Roman" w:eastAsiaTheme="minorEastAsia"/>
          <w:b/>
          <w:bCs/>
          <w:sz w:val="28"/>
          <w:szCs w:val="28"/>
        </w:rPr>
        <w:t>g1-g4</w:t>
      </w:r>
      <w:r>
        <w:rPr>
          <w:rFonts w:hint="default" w:ascii="Times New Roman" w:hAnsi="Times New Roman" w:cs="Times New Roman" w:eastAsiaTheme="minorEastAsia"/>
          <w:b/>
          <w:bCs/>
          <w:sz w:val="28"/>
          <w:szCs w:val="28"/>
          <w:lang w:val="en-US" w:eastAsia="zh-CN"/>
        </w:rPr>
        <w:t>废气</w:t>
      </w:r>
      <w:r>
        <w:rPr>
          <w:rFonts w:hint="default" w:ascii="Times New Roman" w:hAnsi="Times New Roman" w:cs="Times New Roman" w:eastAsiaTheme="minorEastAsia"/>
          <w:b/>
          <w:bCs/>
          <w:sz w:val="28"/>
          <w:szCs w:val="28"/>
        </w:rPr>
        <w:t>监测点位示意图</w:t>
      </w:r>
    </w:p>
    <w:p w14:paraId="288761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rPr>
      </w:pPr>
      <w:r>
        <w:drawing>
          <wp:inline distT="0" distB="0" distL="114300" distR="114300">
            <wp:extent cx="4929505" cy="5144770"/>
            <wp:effectExtent l="0" t="0" r="10795" b="1143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3"/>
                    <a:stretch>
                      <a:fillRect/>
                    </a:stretch>
                  </pic:blipFill>
                  <pic:spPr>
                    <a:xfrm>
                      <a:off x="0" y="0"/>
                      <a:ext cx="4929505" cy="5144770"/>
                    </a:xfrm>
                    <a:prstGeom prst="rect">
                      <a:avLst/>
                    </a:prstGeom>
                    <a:noFill/>
                    <a:ln>
                      <a:noFill/>
                    </a:ln>
                  </pic:spPr>
                </pic:pic>
              </a:graphicData>
            </a:graphic>
          </wp:inline>
        </w:drawing>
      </w:r>
    </w:p>
    <w:p w14:paraId="5FF20862">
      <w:pPr>
        <w:pStyle w:val="1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图7.2-</w:t>
      </w:r>
      <w:r>
        <w:rPr>
          <w:rFonts w:hint="eastAsia" w:ascii="Times New Roman" w:hAnsi="Times New Roman" w:cs="Times New Roman" w:eastAsiaTheme="minorEastAsia"/>
          <w:b/>
          <w:bCs/>
          <w:sz w:val="28"/>
          <w:szCs w:val="28"/>
          <w:lang w:val="en-US" w:eastAsia="zh-CN"/>
        </w:rPr>
        <w:t>4</w:t>
      </w:r>
      <w:r>
        <w:rPr>
          <w:rFonts w:hint="default" w:ascii="Times New Roman" w:hAnsi="Times New Roman" w:cs="Times New Roman" w:eastAsiaTheme="minorEastAsia"/>
          <w:b/>
          <w:bCs/>
          <w:sz w:val="28"/>
          <w:szCs w:val="28"/>
        </w:rPr>
        <w:t xml:space="preserve"> </w:t>
      </w:r>
      <w:r>
        <w:rPr>
          <w:rFonts w:hint="default" w:ascii="Times New Roman" w:hAnsi="Times New Roman" w:cs="Times New Roman" w:eastAsiaTheme="minorEastAsia"/>
          <w:b/>
          <w:bCs/>
          <w:sz w:val="28"/>
          <w:szCs w:val="28"/>
          <w:lang w:val="en-US" w:eastAsia="zh-CN"/>
        </w:rPr>
        <w:t xml:space="preserve"> </w:t>
      </w:r>
      <w:r>
        <w:rPr>
          <w:rFonts w:hint="eastAsia" w:ascii="Times New Roman" w:hAnsi="Times New Roman" w:cs="Times New Roman" w:eastAsiaTheme="minorEastAsia"/>
          <w:b/>
          <w:bCs/>
          <w:sz w:val="28"/>
          <w:szCs w:val="28"/>
          <w:lang w:val="en-US" w:eastAsia="zh-CN"/>
        </w:rPr>
        <w:t>12</w:t>
      </w:r>
      <w:r>
        <w:rPr>
          <w:rFonts w:hint="default" w:ascii="Times New Roman" w:hAnsi="Times New Roman" w:cs="Times New Roman" w:eastAsiaTheme="minorEastAsia"/>
          <w:b/>
          <w:bCs/>
          <w:sz w:val="28"/>
          <w:szCs w:val="28"/>
        </w:rPr>
        <w:t>月</w:t>
      </w:r>
      <w:r>
        <w:rPr>
          <w:rFonts w:hint="default" w:ascii="Times New Roman" w:hAnsi="Times New Roman" w:cs="Times New Roman" w:eastAsiaTheme="minorEastAsia"/>
          <w:b/>
          <w:bCs/>
          <w:sz w:val="28"/>
          <w:szCs w:val="28"/>
          <w:lang w:val="en-US" w:eastAsia="zh-CN"/>
        </w:rPr>
        <w:t>2</w:t>
      </w:r>
      <w:r>
        <w:rPr>
          <w:rFonts w:hint="eastAsia" w:ascii="Times New Roman" w:hAnsi="Times New Roman" w:cs="Times New Roman" w:eastAsiaTheme="minorEastAsia"/>
          <w:b/>
          <w:bCs/>
          <w:sz w:val="28"/>
          <w:szCs w:val="28"/>
          <w:lang w:val="en-US" w:eastAsia="zh-CN"/>
        </w:rPr>
        <w:t>4</w:t>
      </w:r>
      <w:r>
        <w:rPr>
          <w:rFonts w:hint="default" w:ascii="Times New Roman" w:hAnsi="Times New Roman" w:cs="Times New Roman" w:eastAsiaTheme="minorEastAsia"/>
          <w:b/>
          <w:bCs/>
          <w:sz w:val="28"/>
          <w:szCs w:val="28"/>
        </w:rPr>
        <w:t>日</w:t>
      </w:r>
      <w:r>
        <w:rPr>
          <w:rFonts w:hint="default" w:ascii="Times New Roman" w:hAnsi="Times New Roman" w:eastAsia="仿宋" w:cs="Times New Roman"/>
          <w:sz w:val="21"/>
          <w:szCs w:val="21"/>
        </w:rPr>
        <w:t xml:space="preserve"> </w:t>
      </w:r>
      <w:r>
        <w:rPr>
          <w:rFonts w:hint="default" w:ascii="Times New Roman" w:hAnsi="Times New Roman" w:cs="Times New Roman" w:eastAsiaTheme="minorEastAsia"/>
          <w:b/>
          <w:bCs/>
          <w:sz w:val="28"/>
          <w:szCs w:val="28"/>
          <w:lang w:val="en-US" w:eastAsia="zh-CN"/>
        </w:rPr>
        <w:t>废气</w:t>
      </w:r>
      <w:r>
        <w:rPr>
          <w:rFonts w:hint="default" w:ascii="Times New Roman" w:hAnsi="Times New Roman" w:cs="Times New Roman" w:eastAsiaTheme="minorEastAsia"/>
          <w:b/>
          <w:bCs/>
          <w:sz w:val="28"/>
          <w:szCs w:val="28"/>
        </w:rPr>
        <w:t>监测点位示意图</w:t>
      </w:r>
    </w:p>
    <w:p w14:paraId="01F8C1A4">
      <w:pPr>
        <w:pStyle w:val="3"/>
        <w:spacing w:before="120" w:after="0"/>
        <w:ind w:firstLine="0" w:firstLineChars="0"/>
        <w:rPr>
          <w:rFonts w:hint="default" w:ascii="Times New Roman" w:hAnsi="Times New Roman" w:cs="Times New Roman"/>
          <w:color w:val="000000"/>
        </w:rPr>
      </w:pPr>
      <w:bookmarkStart w:id="108" w:name="_Toc12854"/>
      <w:bookmarkStart w:id="109" w:name="_Toc5204547"/>
      <w:r>
        <w:rPr>
          <w:rFonts w:hint="default" w:ascii="Times New Roman" w:hAnsi="Times New Roman" w:cs="Times New Roman"/>
          <w:color w:val="000000"/>
        </w:rPr>
        <w:t>7.3 厂界噪声</w:t>
      </w:r>
      <w:bookmarkEnd w:id="108"/>
      <w:bookmarkEnd w:id="109"/>
    </w:p>
    <w:p w14:paraId="7931F7B8">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根据厂址和声源情况，本次验收监测在公司厂界四周共设置</w:t>
      </w:r>
      <w:r>
        <w:rPr>
          <w:rFonts w:hint="eastAsia" w:ascii="Times New Roman" w:hAnsi="Times New Roman" w:eastAsia="仿宋" w:cs="Times New Roman"/>
          <w:color w:val="000000"/>
          <w:lang w:val="en-US" w:eastAsia="zh-CN"/>
        </w:rPr>
        <w:t>4</w:t>
      </w:r>
      <w:r>
        <w:rPr>
          <w:rFonts w:hint="default" w:ascii="Times New Roman" w:hAnsi="Times New Roman" w:eastAsia="仿宋" w:cs="Times New Roman"/>
          <w:color w:val="000000"/>
        </w:rPr>
        <w:t>个噪声测点，监测两天，每天昼、夜间各监测一次。</w:t>
      </w:r>
    </w:p>
    <w:p w14:paraId="6F5206D9">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噪声监测点位、项目和频次见表7.3-1，厂界监测点位见图7.</w:t>
      </w:r>
      <w:r>
        <w:rPr>
          <w:rFonts w:hint="default" w:ascii="Times New Roman" w:hAnsi="Times New Roman" w:eastAsia="仿宋" w:cs="Times New Roman"/>
          <w:color w:val="000000"/>
          <w:lang w:val="en-US" w:eastAsia="zh-CN"/>
        </w:rPr>
        <w:t>2-2和7.2-3</w:t>
      </w:r>
      <w:r>
        <w:rPr>
          <w:rFonts w:hint="default" w:ascii="Times New Roman" w:hAnsi="Times New Roman" w:eastAsia="仿宋" w:cs="Times New Roman"/>
          <w:color w:val="000000"/>
        </w:rPr>
        <w:t>。</w:t>
      </w:r>
    </w:p>
    <w:p w14:paraId="768901B1">
      <w:pPr>
        <w:spacing w:line="480" w:lineRule="exact"/>
        <w:ind w:firstLine="0" w:firstLineChars="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rPr>
        <w:t>表7.3-1  厂界噪声监测点位、项目和频次</w:t>
      </w:r>
    </w:p>
    <w:tbl>
      <w:tblPr>
        <w:tblStyle w:val="25"/>
        <w:tblW w:w="83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587"/>
        <w:gridCol w:w="1330"/>
        <w:gridCol w:w="2682"/>
      </w:tblGrid>
      <w:tr w14:paraId="3A31C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1" w:type="dxa"/>
            <w:tcBorders>
              <w:top w:val="single" w:color="auto" w:sz="12" w:space="0"/>
            </w:tcBorders>
            <w:vAlign w:val="center"/>
          </w:tcPr>
          <w:p w14:paraId="2388FD64">
            <w:pPr>
              <w:spacing w:line="32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污染种类</w:t>
            </w:r>
          </w:p>
        </w:tc>
        <w:tc>
          <w:tcPr>
            <w:tcW w:w="2587" w:type="dxa"/>
            <w:tcBorders>
              <w:top w:val="single" w:color="auto" w:sz="12" w:space="0"/>
            </w:tcBorders>
            <w:vAlign w:val="center"/>
          </w:tcPr>
          <w:p w14:paraId="4248E6D5">
            <w:pPr>
              <w:spacing w:line="32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测点位置</w:t>
            </w:r>
          </w:p>
        </w:tc>
        <w:tc>
          <w:tcPr>
            <w:tcW w:w="1330" w:type="dxa"/>
            <w:tcBorders>
              <w:top w:val="single" w:color="auto" w:sz="12" w:space="0"/>
            </w:tcBorders>
            <w:vAlign w:val="center"/>
          </w:tcPr>
          <w:p w14:paraId="3F51B367">
            <w:pPr>
              <w:spacing w:line="32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监测项目</w:t>
            </w:r>
          </w:p>
        </w:tc>
        <w:tc>
          <w:tcPr>
            <w:tcW w:w="2682" w:type="dxa"/>
            <w:tcBorders>
              <w:top w:val="single" w:color="auto" w:sz="12" w:space="0"/>
            </w:tcBorders>
            <w:vAlign w:val="center"/>
          </w:tcPr>
          <w:p w14:paraId="76C2879D">
            <w:pPr>
              <w:snapToGrid w:val="0"/>
              <w:spacing w:line="32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监测频次</w:t>
            </w:r>
          </w:p>
        </w:tc>
      </w:tr>
      <w:tr w14:paraId="01AF1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1" w:type="dxa"/>
            <w:vMerge w:val="restart"/>
            <w:vAlign w:val="center"/>
          </w:tcPr>
          <w:p w14:paraId="26C15BFC">
            <w:pPr>
              <w:spacing w:line="32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厂界噪声</w:t>
            </w:r>
          </w:p>
        </w:tc>
        <w:tc>
          <w:tcPr>
            <w:tcW w:w="2587" w:type="dxa"/>
            <w:vAlign w:val="center"/>
          </w:tcPr>
          <w:p w14:paraId="64BEC94B">
            <w:pPr>
              <w:spacing w:line="32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厂区东边界外1米（Z1）</w:t>
            </w:r>
          </w:p>
        </w:tc>
        <w:tc>
          <w:tcPr>
            <w:tcW w:w="1330" w:type="dxa"/>
            <w:vMerge w:val="restart"/>
            <w:vAlign w:val="center"/>
          </w:tcPr>
          <w:p w14:paraId="5F0A6646">
            <w:pPr>
              <w:spacing w:line="32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xml:space="preserve">等效连续（A）声级 </w:t>
            </w:r>
          </w:p>
        </w:tc>
        <w:tc>
          <w:tcPr>
            <w:tcW w:w="2682" w:type="dxa"/>
            <w:vMerge w:val="restart"/>
            <w:vAlign w:val="center"/>
          </w:tcPr>
          <w:p w14:paraId="4B4AA85A">
            <w:pPr>
              <w:snapToGrid w:val="0"/>
              <w:spacing w:line="32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昼间、夜间各1次，</w:t>
            </w:r>
          </w:p>
          <w:p w14:paraId="2022F771">
            <w:pPr>
              <w:snapToGrid w:val="0"/>
              <w:spacing w:line="32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共2天</w:t>
            </w:r>
          </w:p>
        </w:tc>
      </w:tr>
      <w:tr w14:paraId="4A649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1" w:type="dxa"/>
            <w:vMerge w:val="continue"/>
            <w:vAlign w:val="center"/>
          </w:tcPr>
          <w:p w14:paraId="09F34427">
            <w:pPr>
              <w:spacing w:line="320" w:lineRule="exact"/>
              <w:ind w:firstLine="0" w:firstLineChars="0"/>
              <w:jc w:val="center"/>
              <w:rPr>
                <w:rFonts w:hint="default" w:ascii="Times New Roman" w:hAnsi="Times New Roman" w:eastAsia="仿宋" w:cs="Times New Roman"/>
                <w:color w:val="000000"/>
                <w:sz w:val="21"/>
                <w:szCs w:val="21"/>
              </w:rPr>
            </w:pPr>
          </w:p>
        </w:tc>
        <w:tc>
          <w:tcPr>
            <w:tcW w:w="2587" w:type="dxa"/>
            <w:vAlign w:val="center"/>
          </w:tcPr>
          <w:p w14:paraId="5D42AE27">
            <w:pPr>
              <w:spacing w:line="32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厂区东边界外1米（Z2）</w:t>
            </w:r>
          </w:p>
        </w:tc>
        <w:tc>
          <w:tcPr>
            <w:tcW w:w="1330" w:type="dxa"/>
            <w:vMerge w:val="continue"/>
            <w:vAlign w:val="center"/>
          </w:tcPr>
          <w:p w14:paraId="3399584B">
            <w:pPr>
              <w:spacing w:line="320" w:lineRule="exact"/>
              <w:ind w:firstLine="0" w:firstLineChars="0"/>
              <w:jc w:val="center"/>
              <w:rPr>
                <w:rFonts w:hint="default" w:ascii="Times New Roman" w:hAnsi="Times New Roman" w:eastAsia="仿宋" w:cs="Times New Roman"/>
                <w:color w:val="000000"/>
                <w:sz w:val="21"/>
                <w:szCs w:val="21"/>
              </w:rPr>
            </w:pPr>
          </w:p>
        </w:tc>
        <w:tc>
          <w:tcPr>
            <w:tcW w:w="2682" w:type="dxa"/>
            <w:vMerge w:val="continue"/>
            <w:vAlign w:val="center"/>
          </w:tcPr>
          <w:p w14:paraId="5D5E21D4">
            <w:pPr>
              <w:spacing w:line="320" w:lineRule="exact"/>
              <w:ind w:firstLine="0" w:firstLineChars="0"/>
              <w:jc w:val="center"/>
              <w:rPr>
                <w:rFonts w:hint="default" w:ascii="Times New Roman" w:hAnsi="Times New Roman" w:eastAsia="仿宋" w:cs="Times New Roman"/>
                <w:color w:val="000000"/>
                <w:sz w:val="21"/>
                <w:szCs w:val="21"/>
              </w:rPr>
            </w:pPr>
          </w:p>
        </w:tc>
      </w:tr>
      <w:tr w14:paraId="4052D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1" w:type="dxa"/>
            <w:vMerge w:val="continue"/>
            <w:vAlign w:val="center"/>
          </w:tcPr>
          <w:p w14:paraId="064274DF">
            <w:pPr>
              <w:spacing w:line="320" w:lineRule="exact"/>
              <w:ind w:firstLine="0" w:firstLineChars="0"/>
              <w:jc w:val="center"/>
              <w:rPr>
                <w:rFonts w:hint="default" w:ascii="Times New Roman" w:hAnsi="Times New Roman" w:eastAsia="仿宋" w:cs="Times New Roman"/>
                <w:color w:val="000000"/>
                <w:sz w:val="21"/>
                <w:szCs w:val="21"/>
              </w:rPr>
            </w:pPr>
          </w:p>
        </w:tc>
        <w:tc>
          <w:tcPr>
            <w:tcW w:w="2587" w:type="dxa"/>
            <w:vAlign w:val="center"/>
          </w:tcPr>
          <w:p w14:paraId="674D5867">
            <w:pPr>
              <w:spacing w:line="32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厂区南边界外1米（Z3）</w:t>
            </w:r>
          </w:p>
        </w:tc>
        <w:tc>
          <w:tcPr>
            <w:tcW w:w="1330" w:type="dxa"/>
            <w:vMerge w:val="continue"/>
            <w:vAlign w:val="center"/>
          </w:tcPr>
          <w:p w14:paraId="6B172816">
            <w:pPr>
              <w:spacing w:line="320" w:lineRule="exact"/>
              <w:ind w:firstLine="0" w:firstLineChars="0"/>
              <w:jc w:val="center"/>
              <w:rPr>
                <w:rFonts w:hint="default" w:ascii="Times New Roman" w:hAnsi="Times New Roman" w:eastAsia="仿宋" w:cs="Times New Roman"/>
                <w:color w:val="000000"/>
                <w:sz w:val="21"/>
                <w:szCs w:val="21"/>
              </w:rPr>
            </w:pPr>
          </w:p>
        </w:tc>
        <w:tc>
          <w:tcPr>
            <w:tcW w:w="2682" w:type="dxa"/>
            <w:vMerge w:val="continue"/>
            <w:vAlign w:val="center"/>
          </w:tcPr>
          <w:p w14:paraId="5705B878">
            <w:pPr>
              <w:spacing w:line="320" w:lineRule="exact"/>
              <w:ind w:firstLine="0" w:firstLineChars="0"/>
              <w:jc w:val="center"/>
              <w:rPr>
                <w:rFonts w:hint="default" w:ascii="Times New Roman" w:hAnsi="Times New Roman" w:eastAsia="仿宋" w:cs="Times New Roman"/>
                <w:color w:val="000000"/>
                <w:sz w:val="21"/>
                <w:szCs w:val="21"/>
              </w:rPr>
            </w:pPr>
          </w:p>
        </w:tc>
      </w:tr>
      <w:tr w14:paraId="741F8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1" w:type="dxa"/>
            <w:vMerge w:val="continue"/>
            <w:vAlign w:val="center"/>
          </w:tcPr>
          <w:p w14:paraId="5A2C53B0">
            <w:pPr>
              <w:spacing w:line="320" w:lineRule="exact"/>
              <w:ind w:firstLine="0" w:firstLineChars="0"/>
              <w:jc w:val="center"/>
              <w:rPr>
                <w:rFonts w:hint="default" w:ascii="Times New Roman" w:hAnsi="Times New Roman" w:eastAsia="仿宋" w:cs="Times New Roman"/>
                <w:color w:val="000000"/>
                <w:sz w:val="21"/>
                <w:szCs w:val="21"/>
              </w:rPr>
            </w:pPr>
          </w:p>
        </w:tc>
        <w:tc>
          <w:tcPr>
            <w:tcW w:w="2587" w:type="dxa"/>
            <w:vAlign w:val="center"/>
          </w:tcPr>
          <w:p w14:paraId="6806F122">
            <w:pPr>
              <w:spacing w:line="32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厂区南边界外1米（Z4）</w:t>
            </w:r>
          </w:p>
        </w:tc>
        <w:tc>
          <w:tcPr>
            <w:tcW w:w="1330" w:type="dxa"/>
            <w:vMerge w:val="continue"/>
            <w:vAlign w:val="center"/>
          </w:tcPr>
          <w:p w14:paraId="216A133E">
            <w:pPr>
              <w:spacing w:line="320" w:lineRule="exact"/>
              <w:ind w:firstLine="0" w:firstLineChars="0"/>
              <w:jc w:val="center"/>
              <w:rPr>
                <w:rFonts w:hint="default" w:ascii="Times New Roman" w:hAnsi="Times New Roman" w:eastAsia="仿宋" w:cs="Times New Roman"/>
                <w:color w:val="000000"/>
                <w:sz w:val="21"/>
                <w:szCs w:val="21"/>
              </w:rPr>
            </w:pPr>
          </w:p>
        </w:tc>
        <w:tc>
          <w:tcPr>
            <w:tcW w:w="2682" w:type="dxa"/>
            <w:vMerge w:val="continue"/>
            <w:vAlign w:val="center"/>
          </w:tcPr>
          <w:p w14:paraId="768AFE58">
            <w:pPr>
              <w:spacing w:line="320" w:lineRule="exact"/>
              <w:ind w:firstLine="0" w:firstLineChars="0"/>
              <w:jc w:val="center"/>
              <w:rPr>
                <w:rFonts w:hint="default" w:ascii="Times New Roman" w:hAnsi="Times New Roman" w:eastAsia="仿宋" w:cs="Times New Roman"/>
                <w:color w:val="000000"/>
                <w:sz w:val="21"/>
                <w:szCs w:val="21"/>
              </w:rPr>
            </w:pPr>
          </w:p>
        </w:tc>
      </w:tr>
    </w:tbl>
    <w:p w14:paraId="171C37FF">
      <w:pPr>
        <w:pStyle w:val="10"/>
        <w:snapToGrid w:val="0"/>
        <w:spacing w:line="240" w:lineRule="auto"/>
        <w:ind w:firstLine="480"/>
        <w:rPr>
          <w:rFonts w:hint="default" w:ascii="Times New Roman" w:hAnsi="Times New Roman" w:cs="Times New Roman"/>
        </w:rPr>
        <w:sectPr>
          <w:pgSz w:w="11906" w:h="16838"/>
          <w:pgMar w:top="1440" w:right="1800" w:bottom="1440" w:left="1800" w:header="851" w:footer="992" w:gutter="0"/>
          <w:cols w:space="425" w:num="1"/>
          <w:docGrid w:type="lines" w:linePitch="381" w:charSpace="0"/>
        </w:sectPr>
      </w:pPr>
    </w:p>
    <w:p w14:paraId="18CAA4D7">
      <w:pPr>
        <w:pStyle w:val="2"/>
        <w:spacing w:before="381" w:after="381"/>
        <w:rPr>
          <w:rFonts w:hint="default" w:ascii="Times New Roman" w:hAnsi="Times New Roman" w:cs="Times New Roman"/>
          <w:color w:val="000000"/>
        </w:rPr>
      </w:pPr>
      <w:bookmarkStart w:id="110" w:name="_Toc520410270"/>
      <w:bookmarkStart w:id="111" w:name="_Toc5204548"/>
      <w:bookmarkStart w:id="112" w:name="_Toc5854"/>
      <w:r>
        <w:rPr>
          <w:rFonts w:hint="default" w:ascii="Times New Roman" w:hAnsi="Times New Roman" w:cs="Times New Roman"/>
          <w:color w:val="000000"/>
        </w:rPr>
        <w:t>8  质量保证及质量控制</w:t>
      </w:r>
      <w:bookmarkEnd w:id="110"/>
      <w:bookmarkEnd w:id="111"/>
      <w:bookmarkEnd w:id="112"/>
    </w:p>
    <w:p w14:paraId="2815413C">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质控措施按原国家环保总局《关于建设项目环境保护设施竣工验收监测管理有关问题的通知》中9.2条款要求及国家《环境监测技术规范》执行。</w:t>
      </w:r>
    </w:p>
    <w:p w14:paraId="4DFBFEA1">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监测质量保证严格根据国家环保总局颁布的《环境监测质量管理技术导则》（HJ 630-2011）实施全过程的质量保证技术，样品的采集、运输、保存和分析按环保部《工业污染源现场检查技术规范》（HJ 606-2011）、《固定污染源监测质量保证与质量控制技术规范》（HJ/T 373-2007）、《固定污染源废气监测技术规范》（HJ/T 397-2007）、《环境空气质量手工监测技术规范》（HJ/T 194-2005）、《地表水和污水监测技术规范》（HJ/T 91-2002）以及江苏裕和检测技术有限公司编制的质量体系文件相关要求进行。</w:t>
      </w:r>
    </w:p>
    <w:p w14:paraId="0571867F">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监测人员经考核并持有合格证书；所有监测仪器经过计量部门检定并在有效期内；现场监测仪器使用前经过校准；监测数据实行三级审核。废水现场采集10%的平行样，实验室加测10%平行样、10%加标回收样；废气采样仪器进现场前做好校核工作；噪声测量仪器性能符合GB3875和GB/T 17181对2型仪器的要求，在测量前后进行声校准。</w:t>
      </w:r>
    </w:p>
    <w:p w14:paraId="58301E88">
      <w:pPr>
        <w:spacing w:line="480" w:lineRule="exact"/>
        <w:ind w:firstLine="560"/>
        <w:rPr>
          <w:rFonts w:hint="default" w:ascii="Times New Roman" w:hAnsi="Times New Roman" w:cs="Times New Roman" w:eastAsiaTheme="minorEastAsia"/>
          <w:color w:val="000000"/>
        </w:rPr>
      </w:pPr>
      <w:r>
        <w:rPr>
          <w:rFonts w:hint="default" w:ascii="Times New Roman" w:hAnsi="Times New Roman" w:eastAsia="仿宋" w:cs="Times New Roman"/>
          <w:color w:val="000000"/>
        </w:rPr>
        <w:t>废水、废气和噪声监测分析方法见表8.1-1，监测质控数据统计见表8.1-</w:t>
      </w:r>
      <w:r>
        <w:rPr>
          <w:rFonts w:hint="default" w:ascii="Times New Roman" w:hAnsi="Times New Roman" w:eastAsia="仿宋" w:cs="Times New Roman"/>
          <w:color w:val="000000"/>
          <w:lang w:val="en-US" w:eastAsia="zh-CN"/>
        </w:rPr>
        <w:t>2</w:t>
      </w:r>
      <w:r>
        <w:rPr>
          <w:rFonts w:hint="default" w:ascii="Times New Roman" w:hAnsi="Times New Roman" w:cs="Times New Roman" w:eastAsiaTheme="minorEastAsia"/>
          <w:color w:val="000000"/>
        </w:rPr>
        <w:t>。</w:t>
      </w:r>
    </w:p>
    <w:p w14:paraId="7679C1FE">
      <w:pPr>
        <w:pStyle w:val="10"/>
        <w:snapToGrid w:val="0"/>
        <w:spacing w:line="240" w:lineRule="auto"/>
        <w:ind w:firstLine="480"/>
        <w:rPr>
          <w:rFonts w:hint="default" w:ascii="Times New Roman" w:hAnsi="Times New Roman" w:cs="Times New Roman"/>
        </w:rPr>
        <w:sectPr>
          <w:pgSz w:w="11906" w:h="16838"/>
          <w:pgMar w:top="1440" w:right="1800" w:bottom="1440" w:left="1800" w:header="851" w:footer="992" w:gutter="0"/>
          <w:cols w:space="425" w:num="1"/>
          <w:docGrid w:type="lines" w:linePitch="381" w:charSpace="0"/>
        </w:sectPr>
      </w:pPr>
    </w:p>
    <w:p w14:paraId="593D8562">
      <w:pPr>
        <w:spacing w:line="480" w:lineRule="exact"/>
        <w:ind w:firstLine="0" w:firstLineChars="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rPr>
        <w:t>表8.1-1  监测分析方法</w:t>
      </w:r>
    </w:p>
    <w:tbl>
      <w:tblPr>
        <w:tblStyle w:val="25"/>
        <w:tblW w:w="563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764"/>
        <w:gridCol w:w="1480"/>
        <w:gridCol w:w="5548"/>
        <w:gridCol w:w="1608"/>
      </w:tblGrid>
      <w:tr w14:paraId="3369CD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8" w:hRule="atLeast"/>
          <w:jc w:val="center"/>
        </w:trPr>
        <w:tc>
          <w:tcPr>
            <w:tcW w:w="406" w:type="pct"/>
            <w:tcMar>
              <w:top w:w="15" w:type="dxa"/>
              <w:left w:w="15" w:type="dxa"/>
              <w:right w:w="15" w:type="dxa"/>
            </w:tcMar>
            <w:vAlign w:val="center"/>
          </w:tcPr>
          <w:p w14:paraId="2AE78B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检测</w:t>
            </w:r>
          </w:p>
          <w:p w14:paraId="324E89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类别</w:t>
            </w:r>
          </w:p>
        </w:tc>
        <w:tc>
          <w:tcPr>
            <w:tcW w:w="787" w:type="pct"/>
            <w:tcMar>
              <w:top w:w="15" w:type="dxa"/>
              <w:left w:w="15" w:type="dxa"/>
              <w:right w:w="15" w:type="dxa"/>
            </w:tcMar>
            <w:vAlign w:val="center"/>
          </w:tcPr>
          <w:p w14:paraId="3631DB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检测项目</w:t>
            </w:r>
          </w:p>
        </w:tc>
        <w:tc>
          <w:tcPr>
            <w:tcW w:w="2950" w:type="pct"/>
            <w:tcMar>
              <w:top w:w="15" w:type="dxa"/>
              <w:left w:w="15" w:type="dxa"/>
              <w:right w:w="15" w:type="dxa"/>
            </w:tcMar>
            <w:vAlign w:val="center"/>
          </w:tcPr>
          <w:p w14:paraId="4D2F88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检测分析方法</w:t>
            </w:r>
          </w:p>
        </w:tc>
        <w:tc>
          <w:tcPr>
            <w:tcW w:w="855" w:type="pct"/>
            <w:tcMar>
              <w:top w:w="15" w:type="dxa"/>
              <w:left w:w="15" w:type="dxa"/>
              <w:right w:w="15" w:type="dxa"/>
            </w:tcMar>
            <w:vAlign w:val="center"/>
          </w:tcPr>
          <w:p w14:paraId="18C4572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标准号</w:t>
            </w:r>
          </w:p>
        </w:tc>
      </w:tr>
      <w:tr w14:paraId="0F6CC0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restart"/>
            <w:tcMar>
              <w:top w:w="15" w:type="dxa"/>
              <w:left w:w="15" w:type="dxa"/>
              <w:right w:w="15" w:type="dxa"/>
            </w:tcMar>
            <w:vAlign w:val="center"/>
          </w:tcPr>
          <w:p w14:paraId="42B91D7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lang w:val="en-US" w:eastAsia="zh-CN"/>
              </w:rPr>
            </w:pPr>
            <w:r>
              <w:rPr>
                <w:rFonts w:hint="default" w:ascii="Times New Roman" w:hAnsi="Times New Roman" w:eastAsia="仿宋" w:cs="Times New Roman"/>
                <w:b/>
                <w:color w:val="000000"/>
                <w:sz w:val="24"/>
                <w:szCs w:val="24"/>
                <w:lang w:val="en-US" w:eastAsia="zh-CN"/>
              </w:rPr>
              <w:t>有组织</w:t>
            </w:r>
          </w:p>
          <w:p w14:paraId="18D028D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lang w:val="en-US" w:eastAsia="zh-CN"/>
              </w:rPr>
            </w:pPr>
            <w:r>
              <w:rPr>
                <w:rFonts w:hint="default" w:ascii="Times New Roman" w:hAnsi="Times New Roman" w:eastAsia="仿宋" w:cs="Times New Roman"/>
                <w:b/>
                <w:color w:val="000000"/>
                <w:sz w:val="24"/>
                <w:szCs w:val="24"/>
                <w:lang w:val="en-US" w:eastAsia="zh-CN"/>
              </w:rPr>
              <w:t>废气</w:t>
            </w:r>
          </w:p>
        </w:tc>
        <w:tc>
          <w:tcPr>
            <w:tcW w:w="787" w:type="pct"/>
            <w:tcMar>
              <w:top w:w="15" w:type="dxa"/>
              <w:left w:w="15" w:type="dxa"/>
              <w:right w:w="15" w:type="dxa"/>
            </w:tcMar>
            <w:vAlign w:val="center"/>
          </w:tcPr>
          <w:p w14:paraId="0DFD08DE">
            <w:pPr>
              <w:keepNext w:val="0"/>
              <w:keepLines w:val="0"/>
              <w:pageBreakBefore w:val="0"/>
              <w:kinsoku/>
              <w:wordWrap/>
              <w:overflowPunct/>
              <w:topLinePunct w:val="0"/>
              <w:autoSpaceDE/>
              <w:autoSpaceDN/>
              <w:bidi w:val="0"/>
              <w:snapToGrid w:val="0"/>
              <w:spacing w:line="240" w:lineRule="auto"/>
              <w:ind w:firstLine="0" w:firstLineChars="0"/>
              <w:jc w:val="center"/>
              <w:rPr>
                <w:rFonts w:hint="eastAsia" w:ascii="Times New Roman" w:hAnsi="Times New Roman" w:eastAsia="仿宋" w:cs="Times New Roman"/>
                <w:sz w:val="24"/>
                <w:szCs w:val="24"/>
                <w:lang w:eastAsia="zh-CN"/>
              </w:rPr>
            </w:pPr>
            <w:r>
              <w:rPr>
                <w:rFonts w:hint="eastAsia" w:eastAsia="仿宋" w:cs="Times New Roman"/>
                <w:sz w:val="24"/>
                <w:szCs w:val="24"/>
                <w:lang w:eastAsia="zh-CN"/>
              </w:rPr>
              <w:t>*</w:t>
            </w:r>
          </w:p>
        </w:tc>
        <w:tc>
          <w:tcPr>
            <w:tcW w:w="2950" w:type="pct"/>
            <w:tcMar>
              <w:top w:w="15" w:type="dxa"/>
              <w:left w:w="15" w:type="dxa"/>
              <w:right w:w="15" w:type="dxa"/>
            </w:tcMar>
            <w:vAlign w:val="center"/>
          </w:tcPr>
          <w:p w14:paraId="26D7A8D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固定污染源废气 挥发性卤代烃的测定 气袋采样-气相色谱法  </w:t>
            </w:r>
          </w:p>
        </w:tc>
        <w:tc>
          <w:tcPr>
            <w:tcW w:w="855" w:type="pct"/>
            <w:tcMar>
              <w:top w:w="15" w:type="dxa"/>
              <w:left w:w="15" w:type="dxa"/>
              <w:right w:w="15" w:type="dxa"/>
            </w:tcMar>
            <w:vAlign w:val="center"/>
          </w:tcPr>
          <w:p w14:paraId="58527876">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HJ 1006-2018</w:t>
            </w:r>
          </w:p>
        </w:tc>
      </w:tr>
      <w:tr w14:paraId="4FD80D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4FAFB28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4BFDC852">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非甲烷总统</w:t>
            </w:r>
          </w:p>
        </w:tc>
        <w:tc>
          <w:tcPr>
            <w:tcW w:w="2950" w:type="pct"/>
            <w:tcMar>
              <w:top w:w="15" w:type="dxa"/>
              <w:left w:w="15" w:type="dxa"/>
              <w:right w:w="15" w:type="dxa"/>
            </w:tcMar>
            <w:vAlign w:val="center"/>
          </w:tcPr>
          <w:p w14:paraId="61F8D312">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固定污染源废气 总烃、甲烷和非甲烷总烃的测定 气相色谱法</w:t>
            </w:r>
          </w:p>
        </w:tc>
        <w:tc>
          <w:tcPr>
            <w:tcW w:w="855" w:type="pct"/>
            <w:tcMar>
              <w:top w:w="15" w:type="dxa"/>
              <w:left w:w="15" w:type="dxa"/>
              <w:right w:w="15" w:type="dxa"/>
            </w:tcMar>
            <w:vAlign w:val="center"/>
          </w:tcPr>
          <w:p w14:paraId="5DB44801">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HJ 38-2017</w:t>
            </w:r>
          </w:p>
        </w:tc>
      </w:tr>
      <w:tr w14:paraId="424E7D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1A2DB57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634E8649">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油烟和油雾</w:t>
            </w:r>
          </w:p>
        </w:tc>
        <w:tc>
          <w:tcPr>
            <w:tcW w:w="2950" w:type="pct"/>
            <w:tcMar>
              <w:top w:w="15" w:type="dxa"/>
              <w:left w:w="15" w:type="dxa"/>
              <w:right w:w="15" w:type="dxa"/>
            </w:tcMar>
            <w:vAlign w:val="center"/>
          </w:tcPr>
          <w:p w14:paraId="63EAE8FD">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固定污染源废气 油烟和油雾的测定 红外分光光度法</w:t>
            </w:r>
          </w:p>
        </w:tc>
        <w:tc>
          <w:tcPr>
            <w:tcW w:w="855" w:type="pct"/>
            <w:tcMar>
              <w:top w:w="15" w:type="dxa"/>
              <w:left w:w="15" w:type="dxa"/>
              <w:right w:w="15" w:type="dxa"/>
            </w:tcMar>
            <w:vAlign w:val="center"/>
          </w:tcPr>
          <w:p w14:paraId="4590D6B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HJ 1077-2019</w:t>
            </w:r>
          </w:p>
        </w:tc>
      </w:tr>
      <w:tr w14:paraId="6337AF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7" w:hRule="atLeast"/>
          <w:jc w:val="center"/>
        </w:trPr>
        <w:tc>
          <w:tcPr>
            <w:tcW w:w="406" w:type="pct"/>
            <w:vMerge w:val="continue"/>
            <w:tcMar>
              <w:top w:w="15" w:type="dxa"/>
              <w:left w:w="15" w:type="dxa"/>
              <w:right w:w="15" w:type="dxa"/>
            </w:tcMar>
            <w:vAlign w:val="center"/>
          </w:tcPr>
          <w:p w14:paraId="508EFF9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5EAA1B7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恶臭</w:t>
            </w:r>
          </w:p>
        </w:tc>
        <w:tc>
          <w:tcPr>
            <w:tcW w:w="2950" w:type="pct"/>
            <w:tcMar>
              <w:top w:w="15" w:type="dxa"/>
              <w:left w:w="15" w:type="dxa"/>
              <w:right w:w="15" w:type="dxa"/>
            </w:tcMar>
            <w:vAlign w:val="center"/>
          </w:tcPr>
          <w:p w14:paraId="512EC68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 xml:space="preserve">环境空气和废气 臭气的测定 三点比较式臭袋法 </w:t>
            </w:r>
          </w:p>
        </w:tc>
        <w:tc>
          <w:tcPr>
            <w:tcW w:w="855" w:type="pct"/>
            <w:tcMar>
              <w:top w:w="15" w:type="dxa"/>
              <w:left w:w="15" w:type="dxa"/>
              <w:right w:w="15" w:type="dxa"/>
            </w:tcMar>
            <w:vAlign w:val="center"/>
          </w:tcPr>
          <w:p w14:paraId="41ECE744">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HJ 1262—2022</w:t>
            </w:r>
          </w:p>
        </w:tc>
      </w:tr>
      <w:tr w14:paraId="2EE2E0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39" w:hRule="atLeast"/>
          <w:jc w:val="center"/>
        </w:trPr>
        <w:tc>
          <w:tcPr>
            <w:tcW w:w="406" w:type="pct"/>
            <w:vMerge w:val="continue"/>
            <w:tcMar>
              <w:top w:w="15" w:type="dxa"/>
              <w:left w:w="15" w:type="dxa"/>
              <w:right w:w="15" w:type="dxa"/>
            </w:tcMar>
            <w:vAlign w:val="center"/>
          </w:tcPr>
          <w:p w14:paraId="1D05E77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2E5C5747">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硫化氢</w:t>
            </w:r>
          </w:p>
        </w:tc>
        <w:tc>
          <w:tcPr>
            <w:tcW w:w="2950" w:type="pct"/>
            <w:shd w:val="clear" w:color="auto" w:fill="auto"/>
            <w:tcMar>
              <w:top w:w="15" w:type="dxa"/>
              <w:left w:w="15" w:type="dxa"/>
              <w:right w:w="15" w:type="dxa"/>
            </w:tcMar>
            <w:vAlign w:val="center"/>
          </w:tcPr>
          <w:p w14:paraId="68671C1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《空气和废气监测分析方法》国家环保总局2003年（第四版）</w:t>
            </w:r>
          </w:p>
        </w:tc>
        <w:tc>
          <w:tcPr>
            <w:tcW w:w="855" w:type="pct"/>
            <w:tcMar>
              <w:top w:w="15" w:type="dxa"/>
              <w:left w:w="15" w:type="dxa"/>
              <w:right w:w="15" w:type="dxa"/>
            </w:tcMar>
            <w:vAlign w:val="center"/>
          </w:tcPr>
          <w:p w14:paraId="5CE7D226">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5.4.10.35.4.10.（3）</w:t>
            </w:r>
          </w:p>
        </w:tc>
      </w:tr>
      <w:tr w14:paraId="532F99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7" w:hRule="atLeast"/>
          <w:jc w:val="center"/>
        </w:trPr>
        <w:tc>
          <w:tcPr>
            <w:tcW w:w="406" w:type="pct"/>
            <w:vMerge w:val="continue"/>
            <w:tcMar>
              <w:top w:w="15" w:type="dxa"/>
              <w:left w:w="15" w:type="dxa"/>
              <w:right w:w="15" w:type="dxa"/>
            </w:tcMar>
            <w:vAlign w:val="center"/>
          </w:tcPr>
          <w:p w14:paraId="4A30F18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7F8EFF26">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氨</w:t>
            </w:r>
          </w:p>
        </w:tc>
        <w:tc>
          <w:tcPr>
            <w:tcW w:w="2950" w:type="pct"/>
            <w:shd w:val="clear" w:color="auto" w:fill="auto"/>
            <w:tcMar>
              <w:top w:w="15" w:type="dxa"/>
              <w:left w:w="15" w:type="dxa"/>
              <w:right w:w="15" w:type="dxa"/>
            </w:tcMar>
            <w:vAlign w:val="center"/>
          </w:tcPr>
          <w:p w14:paraId="6D0A621D">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环境空气和废气 氨的测定 纳氏试剂分光光度法</w:t>
            </w:r>
          </w:p>
        </w:tc>
        <w:tc>
          <w:tcPr>
            <w:tcW w:w="855" w:type="pct"/>
            <w:tcMar>
              <w:top w:w="15" w:type="dxa"/>
              <w:left w:w="15" w:type="dxa"/>
              <w:right w:w="15" w:type="dxa"/>
            </w:tcMar>
            <w:vAlign w:val="center"/>
          </w:tcPr>
          <w:p w14:paraId="24F73FAB">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HJ 533-2009</w:t>
            </w:r>
          </w:p>
        </w:tc>
      </w:tr>
      <w:tr w14:paraId="4DA4B0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restart"/>
            <w:tcMar>
              <w:top w:w="15" w:type="dxa"/>
              <w:left w:w="15" w:type="dxa"/>
              <w:right w:w="15" w:type="dxa"/>
            </w:tcMar>
            <w:vAlign w:val="center"/>
          </w:tcPr>
          <w:p w14:paraId="0467EF1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lang w:val="en-US" w:eastAsia="zh-CN"/>
              </w:rPr>
            </w:pPr>
            <w:r>
              <w:rPr>
                <w:rFonts w:hint="default" w:ascii="Times New Roman" w:hAnsi="Times New Roman" w:eastAsia="仿宋" w:cs="Times New Roman"/>
                <w:b/>
                <w:color w:val="000000"/>
                <w:sz w:val="24"/>
                <w:szCs w:val="24"/>
                <w:lang w:val="en-US" w:eastAsia="zh-CN"/>
              </w:rPr>
              <w:t>无组织</w:t>
            </w:r>
          </w:p>
          <w:p w14:paraId="17A2698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lang w:val="en-US" w:eastAsia="zh-CN"/>
              </w:rPr>
            </w:pPr>
            <w:r>
              <w:rPr>
                <w:rFonts w:hint="default" w:ascii="Times New Roman" w:hAnsi="Times New Roman" w:eastAsia="仿宋" w:cs="Times New Roman"/>
                <w:b/>
                <w:color w:val="000000"/>
                <w:sz w:val="24"/>
                <w:szCs w:val="24"/>
                <w:lang w:val="en-US" w:eastAsia="zh-CN"/>
              </w:rPr>
              <w:t>废气</w:t>
            </w:r>
          </w:p>
        </w:tc>
        <w:tc>
          <w:tcPr>
            <w:tcW w:w="787" w:type="pct"/>
            <w:tcMar>
              <w:top w:w="15" w:type="dxa"/>
              <w:left w:w="15" w:type="dxa"/>
              <w:right w:w="15" w:type="dxa"/>
            </w:tcMar>
            <w:vAlign w:val="center"/>
          </w:tcPr>
          <w:p w14:paraId="6AACBCE7">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eastAsia" w:eastAsia="仿宋" w:cs="Times New Roman"/>
                <w:sz w:val="24"/>
                <w:szCs w:val="24"/>
                <w:lang w:val="en-US" w:eastAsia="zh-CN"/>
              </w:rPr>
              <w:t>*</w:t>
            </w:r>
          </w:p>
        </w:tc>
        <w:tc>
          <w:tcPr>
            <w:tcW w:w="2950" w:type="pct"/>
            <w:tcMar>
              <w:top w:w="15" w:type="dxa"/>
              <w:left w:w="15" w:type="dxa"/>
              <w:right w:w="15" w:type="dxa"/>
            </w:tcMar>
            <w:vAlign w:val="center"/>
          </w:tcPr>
          <w:p w14:paraId="5F09F264">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环境空气 挥发性有机物的测定 吸附管采样-热脱附/气相色谱-质谱法</w:t>
            </w:r>
          </w:p>
        </w:tc>
        <w:tc>
          <w:tcPr>
            <w:tcW w:w="855" w:type="pct"/>
            <w:tcMar>
              <w:top w:w="15" w:type="dxa"/>
              <w:left w:w="15" w:type="dxa"/>
              <w:right w:w="15" w:type="dxa"/>
            </w:tcMar>
            <w:vAlign w:val="center"/>
          </w:tcPr>
          <w:p w14:paraId="5F98633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HJ 644-2013</w:t>
            </w:r>
          </w:p>
        </w:tc>
      </w:tr>
      <w:tr w14:paraId="4CA605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0A98B8E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6A3BA748">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油雾</w:t>
            </w:r>
          </w:p>
        </w:tc>
        <w:tc>
          <w:tcPr>
            <w:tcW w:w="2950" w:type="pct"/>
            <w:tcMar>
              <w:top w:w="15" w:type="dxa"/>
              <w:left w:w="15" w:type="dxa"/>
              <w:right w:w="15" w:type="dxa"/>
            </w:tcMar>
            <w:vAlign w:val="center"/>
          </w:tcPr>
          <w:p w14:paraId="46D41F22">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固定污染源废气 油烟和油雾的测定 红外分光光度法</w:t>
            </w:r>
          </w:p>
        </w:tc>
        <w:tc>
          <w:tcPr>
            <w:tcW w:w="855" w:type="pct"/>
            <w:tcMar>
              <w:top w:w="15" w:type="dxa"/>
              <w:left w:w="15" w:type="dxa"/>
              <w:right w:w="15" w:type="dxa"/>
            </w:tcMar>
            <w:vAlign w:val="center"/>
          </w:tcPr>
          <w:p w14:paraId="6E327D74">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HJ 1077-2019</w:t>
            </w:r>
          </w:p>
        </w:tc>
      </w:tr>
      <w:tr w14:paraId="22C08B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5D8B07A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547A7CD2">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氨</w:t>
            </w:r>
          </w:p>
        </w:tc>
        <w:tc>
          <w:tcPr>
            <w:tcW w:w="2950" w:type="pct"/>
            <w:tcMar>
              <w:top w:w="15" w:type="dxa"/>
              <w:left w:w="15" w:type="dxa"/>
              <w:right w:w="15" w:type="dxa"/>
            </w:tcMar>
            <w:vAlign w:val="center"/>
          </w:tcPr>
          <w:p w14:paraId="4052C378">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环境空气和废气 氨的测定 纳氏试剂分光光度法</w:t>
            </w:r>
          </w:p>
        </w:tc>
        <w:tc>
          <w:tcPr>
            <w:tcW w:w="855" w:type="pct"/>
            <w:tcMar>
              <w:top w:w="15" w:type="dxa"/>
              <w:left w:w="15" w:type="dxa"/>
              <w:right w:w="15" w:type="dxa"/>
            </w:tcMar>
            <w:vAlign w:val="center"/>
          </w:tcPr>
          <w:p w14:paraId="71733AB2">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HJ 533-2009</w:t>
            </w:r>
          </w:p>
        </w:tc>
      </w:tr>
      <w:tr w14:paraId="50C747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7B4BDCF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1A9105CD">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硫化氢</w:t>
            </w:r>
          </w:p>
        </w:tc>
        <w:tc>
          <w:tcPr>
            <w:tcW w:w="2950" w:type="pct"/>
            <w:tcMar>
              <w:top w:w="15" w:type="dxa"/>
              <w:left w:w="15" w:type="dxa"/>
              <w:right w:w="15" w:type="dxa"/>
            </w:tcMar>
            <w:vAlign w:val="center"/>
          </w:tcPr>
          <w:p w14:paraId="0979211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 xml:space="preserve">亚甲基蓝分光光度法《空气和废气监测分析方法》（第四版增补版）国家环保总局 </w:t>
            </w:r>
          </w:p>
        </w:tc>
        <w:tc>
          <w:tcPr>
            <w:tcW w:w="855" w:type="pct"/>
            <w:tcMar>
              <w:top w:w="15" w:type="dxa"/>
              <w:left w:w="15" w:type="dxa"/>
              <w:right w:w="15" w:type="dxa"/>
            </w:tcMar>
            <w:vAlign w:val="center"/>
          </w:tcPr>
          <w:p w14:paraId="6B9AE2DB">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2003年 3.1.11.2</w:t>
            </w:r>
          </w:p>
        </w:tc>
      </w:tr>
      <w:tr w14:paraId="456555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1FF5ECB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443A6608">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非甲烷总烃</w:t>
            </w:r>
          </w:p>
        </w:tc>
        <w:tc>
          <w:tcPr>
            <w:tcW w:w="2950" w:type="pct"/>
            <w:tcMar>
              <w:top w:w="15" w:type="dxa"/>
              <w:left w:w="15" w:type="dxa"/>
              <w:right w:w="15" w:type="dxa"/>
            </w:tcMar>
            <w:vAlign w:val="center"/>
          </w:tcPr>
          <w:p w14:paraId="12198143">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环境空气 总烃、甲烷和非甲烷总烃的测定 直接进样-气相色谱法</w:t>
            </w:r>
          </w:p>
        </w:tc>
        <w:tc>
          <w:tcPr>
            <w:tcW w:w="855" w:type="pct"/>
            <w:tcMar>
              <w:top w:w="15" w:type="dxa"/>
              <w:left w:w="15" w:type="dxa"/>
              <w:right w:w="15" w:type="dxa"/>
            </w:tcMar>
            <w:vAlign w:val="center"/>
          </w:tcPr>
          <w:p w14:paraId="7E1F7296">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HJ 604-2017</w:t>
            </w:r>
          </w:p>
        </w:tc>
      </w:tr>
      <w:tr w14:paraId="0A02DF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557B05A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57600353">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恶臭（臭气浓度）</w:t>
            </w:r>
          </w:p>
        </w:tc>
        <w:tc>
          <w:tcPr>
            <w:tcW w:w="2950" w:type="pct"/>
            <w:tcMar>
              <w:top w:w="15" w:type="dxa"/>
              <w:left w:w="15" w:type="dxa"/>
              <w:right w:w="15" w:type="dxa"/>
            </w:tcMar>
            <w:vAlign w:val="center"/>
          </w:tcPr>
          <w:p w14:paraId="4EC8402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 xml:space="preserve">环境空气和废气 臭气的测定 三点比较式臭袋法 </w:t>
            </w:r>
          </w:p>
        </w:tc>
        <w:tc>
          <w:tcPr>
            <w:tcW w:w="855" w:type="pct"/>
            <w:tcMar>
              <w:top w:w="15" w:type="dxa"/>
              <w:left w:w="15" w:type="dxa"/>
              <w:right w:w="15" w:type="dxa"/>
            </w:tcMar>
            <w:vAlign w:val="center"/>
          </w:tcPr>
          <w:p w14:paraId="4BA686C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HJ 1262—2022</w:t>
            </w:r>
          </w:p>
        </w:tc>
      </w:tr>
      <w:tr w14:paraId="64E831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restart"/>
            <w:tcMar>
              <w:top w:w="15" w:type="dxa"/>
              <w:left w:w="15" w:type="dxa"/>
              <w:right w:w="15" w:type="dxa"/>
            </w:tcMar>
            <w:vAlign w:val="center"/>
          </w:tcPr>
          <w:p w14:paraId="55002DA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r>
              <w:rPr>
                <w:rFonts w:hint="default" w:ascii="Times New Roman" w:hAnsi="Times New Roman" w:eastAsia="仿宋" w:cs="Times New Roman"/>
                <w:b/>
                <w:color w:val="000000"/>
                <w:sz w:val="24"/>
                <w:szCs w:val="24"/>
              </w:rPr>
              <w:t>水和废水</w:t>
            </w:r>
          </w:p>
        </w:tc>
        <w:tc>
          <w:tcPr>
            <w:tcW w:w="787" w:type="pct"/>
            <w:tcMar>
              <w:top w:w="15" w:type="dxa"/>
              <w:left w:w="15" w:type="dxa"/>
              <w:right w:w="15" w:type="dxa"/>
            </w:tcMar>
            <w:vAlign w:val="center"/>
          </w:tcPr>
          <w:p w14:paraId="007F7EEB">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pH 值</w:t>
            </w:r>
          </w:p>
        </w:tc>
        <w:tc>
          <w:tcPr>
            <w:tcW w:w="2950" w:type="pct"/>
            <w:tcMar>
              <w:top w:w="15" w:type="dxa"/>
              <w:left w:w="15" w:type="dxa"/>
              <w:right w:w="15" w:type="dxa"/>
            </w:tcMar>
            <w:vAlign w:val="center"/>
          </w:tcPr>
          <w:p w14:paraId="50A51006">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水质 pH值的测定 电极法</w:t>
            </w:r>
          </w:p>
        </w:tc>
        <w:tc>
          <w:tcPr>
            <w:tcW w:w="855" w:type="pct"/>
            <w:tcMar>
              <w:top w:w="15" w:type="dxa"/>
              <w:left w:w="15" w:type="dxa"/>
              <w:right w:w="15" w:type="dxa"/>
            </w:tcMar>
            <w:vAlign w:val="center"/>
          </w:tcPr>
          <w:p w14:paraId="7C77FE8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HJ 1147-2020</w:t>
            </w:r>
          </w:p>
        </w:tc>
      </w:tr>
      <w:tr w14:paraId="47C3D8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0DD7ADF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559FAF9E">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化学需氧量</w:t>
            </w:r>
          </w:p>
        </w:tc>
        <w:tc>
          <w:tcPr>
            <w:tcW w:w="2950" w:type="pct"/>
            <w:tcMar>
              <w:top w:w="15" w:type="dxa"/>
              <w:left w:w="15" w:type="dxa"/>
              <w:right w:w="15" w:type="dxa"/>
            </w:tcMar>
            <w:vAlign w:val="center"/>
          </w:tcPr>
          <w:p w14:paraId="28D3B74C">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水质 化学需氧量的测定 重铬酸盐法</w:t>
            </w:r>
          </w:p>
        </w:tc>
        <w:tc>
          <w:tcPr>
            <w:tcW w:w="855" w:type="pct"/>
            <w:tcMar>
              <w:top w:w="15" w:type="dxa"/>
              <w:left w:w="15" w:type="dxa"/>
              <w:right w:w="15" w:type="dxa"/>
            </w:tcMar>
            <w:vAlign w:val="center"/>
          </w:tcPr>
          <w:p w14:paraId="6AA8989A">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HJ 828-2017</w:t>
            </w:r>
          </w:p>
        </w:tc>
      </w:tr>
      <w:tr w14:paraId="19D373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013DA74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7534CF9E">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五日生化需氧量（BOD</w:t>
            </w:r>
            <w:r>
              <w:rPr>
                <w:rFonts w:hint="default" w:ascii="Times New Roman" w:hAnsi="Times New Roman" w:eastAsia="仿宋" w:cs="Times New Roman"/>
                <w:sz w:val="24"/>
                <w:szCs w:val="24"/>
                <w:vertAlign w:val="subscript"/>
                <w:lang w:val="en-US" w:eastAsia="zh-CN"/>
              </w:rPr>
              <w:t>5</w:t>
            </w:r>
            <w:r>
              <w:rPr>
                <w:rFonts w:hint="default" w:ascii="Times New Roman" w:hAnsi="Times New Roman" w:eastAsia="仿宋" w:cs="Times New Roman"/>
                <w:sz w:val="24"/>
                <w:szCs w:val="24"/>
                <w:lang w:val="en-US" w:eastAsia="zh-CN"/>
              </w:rPr>
              <w:t>）</w:t>
            </w:r>
          </w:p>
        </w:tc>
        <w:tc>
          <w:tcPr>
            <w:tcW w:w="2950" w:type="pct"/>
            <w:tcMar>
              <w:top w:w="15" w:type="dxa"/>
              <w:left w:w="15" w:type="dxa"/>
              <w:right w:w="15" w:type="dxa"/>
            </w:tcMar>
            <w:vAlign w:val="center"/>
          </w:tcPr>
          <w:p w14:paraId="59C8E24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水质 五日生化需氧量（BOD5）的测定 稀释与接种法</w:t>
            </w:r>
          </w:p>
        </w:tc>
        <w:tc>
          <w:tcPr>
            <w:tcW w:w="855" w:type="pct"/>
            <w:tcMar>
              <w:top w:w="15" w:type="dxa"/>
              <w:left w:w="15" w:type="dxa"/>
              <w:right w:w="15" w:type="dxa"/>
            </w:tcMar>
            <w:vAlign w:val="center"/>
          </w:tcPr>
          <w:p w14:paraId="5F3D9EAB">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HJ 505-2009</w:t>
            </w:r>
          </w:p>
        </w:tc>
      </w:tr>
      <w:tr w14:paraId="5C5642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007C9FA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4584CA49">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悬浮物（SS）</w:t>
            </w:r>
          </w:p>
        </w:tc>
        <w:tc>
          <w:tcPr>
            <w:tcW w:w="2950" w:type="pct"/>
            <w:tcMar>
              <w:top w:w="15" w:type="dxa"/>
              <w:left w:w="15" w:type="dxa"/>
              <w:right w:w="15" w:type="dxa"/>
            </w:tcMar>
            <w:vAlign w:val="center"/>
          </w:tcPr>
          <w:p w14:paraId="78ABEDC1">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水质 悬浮物的测定 重量法</w:t>
            </w:r>
          </w:p>
        </w:tc>
        <w:tc>
          <w:tcPr>
            <w:tcW w:w="855" w:type="pct"/>
            <w:tcMar>
              <w:top w:w="15" w:type="dxa"/>
              <w:left w:w="15" w:type="dxa"/>
              <w:right w:w="15" w:type="dxa"/>
            </w:tcMar>
            <w:vAlign w:val="center"/>
          </w:tcPr>
          <w:p w14:paraId="0BEC4A8D">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GB 11901-89</w:t>
            </w:r>
          </w:p>
        </w:tc>
      </w:tr>
      <w:tr w14:paraId="372D7B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1B5B6B4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185F43AA">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氨氮（NH3-N）</w:t>
            </w:r>
          </w:p>
        </w:tc>
        <w:tc>
          <w:tcPr>
            <w:tcW w:w="2950" w:type="pct"/>
            <w:tcMar>
              <w:top w:w="15" w:type="dxa"/>
              <w:left w:w="15" w:type="dxa"/>
              <w:right w:w="15" w:type="dxa"/>
            </w:tcMar>
            <w:vAlign w:val="center"/>
          </w:tcPr>
          <w:p w14:paraId="4BFEBEF4">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水质 氨氮的测定 纳氏试剂分光光度法</w:t>
            </w:r>
          </w:p>
        </w:tc>
        <w:tc>
          <w:tcPr>
            <w:tcW w:w="855" w:type="pct"/>
            <w:tcMar>
              <w:top w:w="15" w:type="dxa"/>
              <w:left w:w="15" w:type="dxa"/>
              <w:right w:w="15" w:type="dxa"/>
            </w:tcMar>
            <w:vAlign w:val="center"/>
          </w:tcPr>
          <w:p w14:paraId="6FC88356">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HJ 535-2009</w:t>
            </w:r>
          </w:p>
        </w:tc>
      </w:tr>
      <w:tr w14:paraId="67F4A6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618E7E6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60540473">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总磷</w:t>
            </w:r>
          </w:p>
          <w:p w14:paraId="69F4B94D">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（TP以P计）</w:t>
            </w:r>
          </w:p>
        </w:tc>
        <w:tc>
          <w:tcPr>
            <w:tcW w:w="2950" w:type="pct"/>
            <w:tcMar>
              <w:top w:w="15" w:type="dxa"/>
              <w:left w:w="15" w:type="dxa"/>
              <w:right w:w="15" w:type="dxa"/>
            </w:tcMar>
            <w:vAlign w:val="center"/>
          </w:tcPr>
          <w:p w14:paraId="0FFC81B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水质 总磷的测定 钼酸铵分光光度法</w:t>
            </w:r>
          </w:p>
        </w:tc>
        <w:tc>
          <w:tcPr>
            <w:tcW w:w="855" w:type="pct"/>
            <w:tcMar>
              <w:top w:w="15" w:type="dxa"/>
              <w:left w:w="15" w:type="dxa"/>
              <w:right w:w="15" w:type="dxa"/>
            </w:tcMar>
            <w:vAlign w:val="center"/>
          </w:tcPr>
          <w:p w14:paraId="5132B1A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GB 11893-89</w:t>
            </w:r>
          </w:p>
        </w:tc>
      </w:tr>
      <w:tr w14:paraId="16A3B7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1D7673B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0ECEF26D">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总氮</w:t>
            </w:r>
          </w:p>
          <w:p w14:paraId="2A2A4C7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（TN以N计）</w:t>
            </w:r>
          </w:p>
        </w:tc>
        <w:tc>
          <w:tcPr>
            <w:tcW w:w="2950" w:type="pct"/>
            <w:tcMar>
              <w:top w:w="15" w:type="dxa"/>
              <w:left w:w="15" w:type="dxa"/>
              <w:right w:w="15" w:type="dxa"/>
            </w:tcMar>
            <w:vAlign w:val="center"/>
          </w:tcPr>
          <w:p w14:paraId="2776285E">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水质 总氮的测定 碱性过硫酸钾消解紫外分光光度法</w:t>
            </w:r>
          </w:p>
        </w:tc>
        <w:tc>
          <w:tcPr>
            <w:tcW w:w="855" w:type="pct"/>
            <w:tcMar>
              <w:top w:w="15" w:type="dxa"/>
              <w:left w:w="15" w:type="dxa"/>
              <w:right w:w="15" w:type="dxa"/>
            </w:tcMar>
            <w:vAlign w:val="center"/>
          </w:tcPr>
          <w:p w14:paraId="4CB21DE4">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HJ 636-2012</w:t>
            </w:r>
          </w:p>
        </w:tc>
      </w:tr>
      <w:tr w14:paraId="41EDED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336DC1A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5F3E753D">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石油类（红外）</w:t>
            </w:r>
          </w:p>
        </w:tc>
        <w:tc>
          <w:tcPr>
            <w:tcW w:w="2950" w:type="pct"/>
            <w:tcMar>
              <w:top w:w="15" w:type="dxa"/>
              <w:left w:w="15" w:type="dxa"/>
              <w:right w:w="15" w:type="dxa"/>
            </w:tcMar>
            <w:vAlign w:val="center"/>
          </w:tcPr>
          <w:p w14:paraId="7F7C664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水质 石油类和动植物油类的测定 红外分光光度法</w:t>
            </w:r>
          </w:p>
        </w:tc>
        <w:tc>
          <w:tcPr>
            <w:tcW w:w="855" w:type="pct"/>
            <w:tcMar>
              <w:top w:w="15" w:type="dxa"/>
              <w:left w:w="15" w:type="dxa"/>
              <w:right w:w="15" w:type="dxa"/>
            </w:tcMar>
            <w:vAlign w:val="center"/>
          </w:tcPr>
          <w:p w14:paraId="3D3860F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HJ 637-2018</w:t>
            </w:r>
          </w:p>
        </w:tc>
      </w:tr>
      <w:tr w14:paraId="09985F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6572E4E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2E9169BA">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动植物油</w:t>
            </w:r>
          </w:p>
          <w:p w14:paraId="6AD667E7">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（红外）</w:t>
            </w:r>
          </w:p>
        </w:tc>
        <w:tc>
          <w:tcPr>
            <w:tcW w:w="2950" w:type="pct"/>
            <w:tcMar>
              <w:top w:w="15" w:type="dxa"/>
              <w:left w:w="15" w:type="dxa"/>
              <w:right w:w="15" w:type="dxa"/>
            </w:tcMar>
            <w:vAlign w:val="center"/>
          </w:tcPr>
          <w:p w14:paraId="226A66D9">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水质 石油类和动植物油类的测定 红外分光光度法</w:t>
            </w:r>
          </w:p>
        </w:tc>
        <w:tc>
          <w:tcPr>
            <w:tcW w:w="855" w:type="pct"/>
            <w:tcMar>
              <w:top w:w="15" w:type="dxa"/>
              <w:left w:w="15" w:type="dxa"/>
              <w:right w:w="15" w:type="dxa"/>
            </w:tcMar>
            <w:vAlign w:val="center"/>
          </w:tcPr>
          <w:p w14:paraId="1D8C9F2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HJ 637-2018</w:t>
            </w:r>
          </w:p>
        </w:tc>
      </w:tr>
      <w:tr w14:paraId="75D5EC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3BCDACA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39A1FCD7">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eastAsia" w:eastAsia="仿宋" w:cs="Times New Roman"/>
                <w:sz w:val="24"/>
                <w:szCs w:val="24"/>
                <w:lang w:val="en-US" w:eastAsia="zh-CN"/>
              </w:rPr>
              <w:t>*</w:t>
            </w:r>
          </w:p>
        </w:tc>
        <w:tc>
          <w:tcPr>
            <w:tcW w:w="2950" w:type="pct"/>
            <w:tcMar>
              <w:top w:w="15" w:type="dxa"/>
              <w:left w:w="15" w:type="dxa"/>
              <w:right w:w="15" w:type="dxa"/>
            </w:tcMar>
            <w:vAlign w:val="center"/>
          </w:tcPr>
          <w:p w14:paraId="76D8D02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水质 挥发性有机物的测定 吹扫捕集-气相色谱-质谱法</w:t>
            </w:r>
          </w:p>
        </w:tc>
        <w:tc>
          <w:tcPr>
            <w:tcW w:w="855" w:type="pct"/>
            <w:tcMar>
              <w:top w:w="15" w:type="dxa"/>
              <w:left w:w="15" w:type="dxa"/>
              <w:right w:w="15" w:type="dxa"/>
            </w:tcMar>
            <w:vAlign w:val="center"/>
          </w:tcPr>
          <w:p w14:paraId="64084B7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HJ639-2012</w:t>
            </w:r>
          </w:p>
        </w:tc>
      </w:tr>
      <w:tr w14:paraId="0FF574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7482489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12FC38B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可吸附有机</w:t>
            </w:r>
          </w:p>
          <w:p w14:paraId="71BA4C0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24"/>
                <w:szCs w:val="24"/>
                <w:lang w:val="en-US" w:eastAsia="zh-CN"/>
              </w:rPr>
              <w:t>卤素</w:t>
            </w:r>
          </w:p>
        </w:tc>
        <w:tc>
          <w:tcPr>
            <w:tcW w:w="2950" w:type="pct"/>
            <w:tcMar>
              <w:top w:w="15" w:type="dxa"/>
              <w:left w:w="15" w:type="dxa"/>
              <w:right w:w="15" w:type="dxa"/>
            </w:tcMar>
            <w:vAlign w:val="center"/>
          </w:tcPr>
          <w:p w14:paraId="3F5D03D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水质 可吸附有机卤素（AOX）的测定 离子色谱法</w:t>
            </w:r>
          </w:p>
        </w:tc>
        <w:tc>
          <w:tcPr>
            <w:tcW w:w="855" w:type="pct"/>
            <w:tcMar>
              <w:top w:w="15" w:type="dxa"/>
              <w:left w:w="15" w:type="dxa"/>
              <w:right w:w="15" w:type="dxa"/>
            </w:tcMar>
            <w:vAlign w:val="center"/>
          </w:tcPr>
          <w:p w14:paraId="7BF11EB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 xml:space="preserve"> HJ/T 83-2001</w:t>
            </w:r>
          </w:p>
        </w:tc>
      </w:tr>
      <w:tr w14:paraId="200250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restart"/>
            <w:tcMar>
              <w:top w:w="15" w:type="dxa"/>
              <w:left w:w="15" w:type="dxa"/>
              <w:right w:w="15" w:type="dxa"/>
            </w:tcMar>
            <w:vAlign w:val="center"/>
          </w:tcPr>
          <w:p w14:paraId="42C254A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r>
              <w:rPr>
                <w:rFonts w:hint="default" w:ascii="Times New Roman" w:hAnsi="Times New Roman" w:eastAsia="仿宋" w:cs="Times New Roman"/>
                <w:b/>
                <w:color w:val="000000"/>
                <w:sz w:val="24"/>
                <w:szCs w:val="24"/>
              </w:rPr>
              <w:t>噪声</w:t>
            </w:r>
          </w:p>
        </w:tc>
        <w:tc>
          <w:tcPr>
            <w:tcW w:w="787" w:type="pct"/>
            <w:tcMar>
              <w:top w:w="15" w:type="dxa"/>
              <w:left w:w="15" w:type="dxa"/>
              <w:right w:w="15" w:type="dxa"/>
            </w:tcMar>
            <w:vAlign w:val="center"/>
          </w:tcPr>
          <w:p w14:paraId="0E11EF3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工业企业厂界噪声（昼间）</w:t>
            </w:r>
          </w:p>
        </w:tc>
        <w:tc>
          <w:tcPr>
            <w:tcW w:w="2950" w:type="pct"/>
            <w:tcMar>
              <w:top w:w="15" w:type="dxa"/>
              <w:left w:w="15" w:type="dxa"/>
              <w:right w:w="15" w:type="dxa"/>
            </w:tcMar>
            <w:vAlign w:val="center"/>
          </w:tcPr>
          <w:p w14:paraId="5BBFF5CB">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工业企业厂界环境噪声排放标准</w:t>
            </w:r>
          </w:p>
        </w:tc>
        <w:tc>
          <w:tcPr>
            <w:tcW w:w="855" w:type="pct"/>
            <w:tcMar>
              <w:top w:w="15" w:type="dxa"/>
              <w:left w:w="15" w:type="dxa"/>
              <w:right w:w="15" w:type="dxa"/>
            </w:tcMar>
            <w:vAlign w:val="center"/>
          </w:tcPr>
          <w:p w14:paraId="63D5710E">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GB 12348-2008</w:t>
            </w:r>
          </w:p>
        </w:tc>
      </w:tr>
      <w:tr w14:paraId="5D7BC5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2" w:hRule="atLeast"/>
          <w:jc w:val="center"/>
        </w:trPr>
        <w:tc>
          <w:tcPr>
            <w:tcW w:w="406" w:type="pct"/>
            <w:vMerge w:val="continue"/>
            <w:tcMar>
              <w:top w:w="15" w:type="dxa"/>
              <w:left w:w="15" w:type="dxa"/>
              <w:right w:w="15" w:type="dxa"/>
            </w:tcMar>
            <w:vAlign w:val="center"/>
          </w:tcPr>
          <w:p w14:paraId="2BC4108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b/>
                <w:color w:val="000000"/>
                <w:sz w:val="24"/>
                <w:szCs w:val="24"/>
              </w:rPr>
            </w:pPr>
          </w:p>
        </w:tc>
        <w:tc>
          <w:tcPr>
            <w:tcW w:w="787" w:type="pct"/>
            <w:tcMar>
              <w:top w:w="15" w:type="dxa"/>
              <w:left w:w="15" w:type="dxa"/>
              <w:right w:w="15" w:type="dxa"/>
            </w:tcMar>
            <w:vAlign w:val="center"/>
          </w:tcPr>
          <w:p w14:paraId="0670ECFA">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工业企业厂界噪声（夜间）</w:t>
            </w:r>
          </w:p>
        </w:tc>
        <w:tc>
          <w:tcPr>
            <w:tcW w:w="2950" w:type="pct"/>
            <w:tcMar>
              <w:top w:w="15" w:type="dxa"/>
              <w:left w:w="15" w:type="dxa"/>
              <w:right w:w="15" w:type="dxa"/>
            </w:tcMar>
            <w:vAlign w:val="center"/>
          </w:tcPr>
          <w:p w14:paraId="55BF5DA2">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工业企业厂界环境噪声排放标准</w:t>
            </w:r>
          </w:p>
        </w:tc>
        <w:tc>
          <w:tcPr>
            <w:tcW w:w="855" w:type="pct"/>
            <w:tcMar>
              <w:top w:w="15" w:type="dxa"/>
              <w:left w:w="15" w:type="dxa"/>
              <w:right w:w="15" w:type="dxa"/>
            </w:tcMar>
            <w:vAlign w:val="center"/>
          </w:tcPr>
          <w:p w14:paraId="649495B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GB 12348-2008</w:t>
            </w:r>
          </w:p>
        </w:tc>
      </w:tr>
    </w:tbl>
    <w:p w14:paraId="680CD9CD">
      <w:pPr>
        <w:pStyle w:val="10"/>
        <w:ind w:firstLine="0" w:firstLineChars="0"/>
        <w:rPr>
          <w:rFonts w:hint="default" w:ascii="Times New Roman" w:hAnsi="Times New Roman" w:cs="Times New Roman"/>
        </w:rPr>
      </w:pPr>
    </w:p>
    <w:p w14:paraId="37FA5009">
      <w:pPr>
        <w:spacing w:line="240" w:lineRule="auto"/>
        <w:ind w:firstLine="360"/>
        <w:rPr>
          <w:rFonts w:hint="default" w:ascii="Times New Roman" w:hAnsi="Times New Roman" w:eastAsia="仿宋" w:cs="Times New Roman"/>
          <w:sz w:val="18"/>
          <w:szCs w:val="18"/>
        </w:rPr>
      </w:pPr>
    </w:p>
    <w:p w14:paraId="6267A094">
      <w:pPr>
        <w:pStyle w:val="10"/>
        <w:ind w:firstLine="480"/>
        <w:rPr>
          <w:rFonts w:hint="default" w:ascii="Times New Roman" w:hAnsi="Times New Roman" w:cs="Times New Roman"/>
        </w:rPr>
      </w:pPr>
    </w:p>
    <w:p w14:paraId="2B857E9A">
      <w:pPr>
        <w:pStyle w:val="10"/>
        <w:ind w:firstLine="480"/>
        <w:rPr>
          <w:rFonts w:hint="default" w:ascii="Times New Roman" w:hAnsi="Times New Roman" w:cs="Times New Roman"/>
        </w:rPr>
      </w:pPr>
    </w:p>
    <w:p w14:paraId="2165EA12">
      <w:pPr>
        <w:spacing w:afterLines="50"/>
        <w:ind w:firstLine="0" w:firstLineChars="0"/>
        <w:jc w:val="center"/>
        <w:rPr>
          <w:rFonts w:hint="default" w:ascii="Times New Roman" w:hAnsi="Times New Roman" w:cs="Times New Roman"/>
          <w:b/>
          <w:bCs/>
          <w:color w:val="000000"/>
        </w:rPr>
        <w:sectPr>
          <w:pgSz w:w="11906" w:h="16838"/>
          <w:pgMar w:top="1440" w:right="1797" w:bottom="1440" w:left="1797" w:header="851" w:footer="992" w:gutter="0"/>
          <w:cols w:space="720" w:num="1"/>
          <w:docGrid w:type="lines" w:linePitch="312" w:charSpace="0"/>
        </w:sectPr>
      </w:pPr>
    </w:p>
    <w:p w14:paraId="79C83ABC">
      <w:pPr>
        <w:spacing w:after="156" w:afterLines="50"/>
        <w:ind w:firstLine="0" w:firstLineChars="0"/>
        <w:jc w:val="center"/>
        <w:rPr>
          <w:rFonts w:hint="default" w:ascii="Times New Roman" w:hAnsi="Times New Roman" w:eastAsia="仿宋" w:cs="Times New Roman"/>
          <w:b/>
          <w:color w:val="000000" w:themeColor="text1"/>
          <w:sz w:val="28"/>
          <w:szCs w:val="28"/>
          <w14:textFill>
            <w14:solidFill>
              <w14:schemeClr w14:val="tx1"/>
            </w14:solidFill>
          </w14:textFill>
        </w:rPr>
      </w:pPr>
      <w:r>
        <w:rPr>
          <w:rFonts w:hint="default" w:ascii="Times New Roman" w:hAnsi="Times New Roman" w:eastAsia="仿宋" w:cs="Times New Roman"/>
          <w:b/>
          <w:color w:val="000000" w:themeColor="text1"/>
          <w:sz w:val="28"/>
          <w:szCs w:val="28"/>
          <w:lang w:val="en-US" w:eastAsia="zh-CN"/>
          <w14:textFill>
            <w14:solidFill>
              <w14:schemeClr w14:val="tx1"/>
            </w14:solidFill>
          </w14:textFill>
        </w:rPr>
        <w:t xml:space="preserve">表8.1-2 </w:t>
      </w:r>
      <w:r>
        <w:rPr>
          <w:rFonts w:hint="default" w:ascii="Times New Roman" w:hAnsi="Times New Roman" w:eastAsia="仿宋" w:cs="Times New Roman"/>
          <w:b/>
          <w:color w:val="000000" w:themeColor="text1"/>
          <w:sz w:val="28"/>
          <w:szCs w:val="28"/>
          <w14:textFill>
            <w14:solidFill>
              <w14:schemeClr w14:val="tx1"/>
            </w14:solidFill>
          </w14:textFill>
        </w:rPr>
        <w:t>质量控制情况统计表</w:t>
      </w:r>
    </w:p>
    <w:tbl>
      <w:tblPr>
        <w:tblStyle w:val="25"/>
        <w:tblW w:w="142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700"/>
        <w:gridCol w:w="946"/>
        <w:gridCol w:w="654"/>
        <w:gridCol w:w="1300"/>
        <w:gridCol w:w="882"/>
        <w:gridCol w:w="1382"/>
        <w:gridCol w:w="727"/>
        <w:gridCol w:w="1309"/>
        <w:gridCol w:w="755"/>
        <w:gridCol w:w="1418"/>
        <w:gridCol w:w="964"/>
        <w:gridCol w:w="1446"/>
      </w:tblGrid>
      <w:tr w14:paraId="67F9B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Merge w:val="restart"/>
            <w:noWrap w:val="0"/>
            <w:vAlign w:val="center"/>
          </w:tcPr>
          <w:p w14:paraId="5CD701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样品</w:t>
            </w:r>
          </w:p>
          <w:p w14:paraId="34B629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color w:val="auto"/>
                <w:sz w:val="21"/>
                <w:szCs w:val="21"/>
                <w:highlight w:val="none"/>
                <w:lang w:val="en-US" w:eastAsia="zh-CN"/>
              </w:rPr>
              <w:t>类别</w:t>
            </w:r>
          </w:p>
        </w:tc>
        <w:tc>
          <w:tcPr>
            <w:tcW w:w="1700" w:type="dxa"/>
            <w:noWrap w:val="0"/>
            <w:vAlign w:val="center"/>
          </w:tcPr>
          <w:p w14:paraId="23A334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受检单位</w:t>
            </w:r>
          </w:p>
        </w:tc>
        <w:tc>
          <w:tcPr>
            <w:tcW w:w="5164" w:type="dxa"/>
            <w:gridSpan w:val="5"/>
            <w:noWrap w:val="0"/>
            <w:vAlign w:val="center"/>
          </w:tcPr>
          <w:p w14:paraId="7BB215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江苏九州星际新材料有限公司</w:t>
            </w:r>
          </w:p>
        </w:tc>
        <w:tc>
          <w:tcPr>
            <w:tcW w:w="2036" w:type="dxa"/>
            <w:gridSpan w:val="2"/>
            <w:noWrap w:val="0"/>
            <w:vAlign w:val="center"/>
          </w:tcPr>
          <w:p w14:paraId="7086C1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采样日期</w:t>
            </w:r>
          </w:p>
        </w:tc>
        <w:tc>
          <w:tcPr>
            <w:tcW w:w="4583" w:type="dxa"/>
            <w:gridSpan w:val="4"/>
            <w:noWrap w:val="0"/>
            <w:vAlign w:val="center"/>
          </w:tcPr>
          <w:p w14:paraId="2923B7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2025.9.28-9.29</w:t>
            </w:r>
            <w:r>
              <w:rPr>
                <w:rFonts w:hint="eastAsia" w:ascii="Times New Roman" w:hAnsi="Times New Roman" w:eastAsia="仿宋" w:cs="Times New Roman"/>
                <w:b w:val="0"/>
                <w:bCs w:val="0"/>
                <w:kern w:val="80"/>
                <w:sz w:val="21"/>
                <w:szCs w:val="21"/>
                <w:lang w:val="en-US" w:eastAsia="zh-CN"/>
              </w:rPr>
              <w:t>及2025.10.17-10.18</w:t>
            </w:r>
          </w:p>
        </w:tc>
      </w:tr>
      <w:tr w14:paraId="0DC97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Merge w:val="continue"/>
            <w:noWrap w:val="0"/>
            <w:vAlign w:val="center"/>
          </w:tcPr>
          <w:p w14:paraId="2DA502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p>
        </w:tc>
        <w:tc>
          <w:tcPr>
            <w:tcW w:w="1700" w:type="dxa"/>
            <w:vMerge w:val="restart"/>
            <w:noWrap w:val="0"/>
            <w:vAlign w:val="center"/>
          </w:tcPr>
          <w:p w14:paraId="06EABF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监测项目</w:t>
            </w:r>
          </w:p>
        </w:tc>
        <w:tc>
          <w:tcPr>
            <w:tcW w:w="946" w:type="dxa"/>
            <w:vMerge w:val="restart"/>
            <w:noWrap w:val="0"/>
            <w:vAlign w:val="center"/>
          </w:tcPr>
          <w:p w14:paraId="0C76E0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样品数</w:t>
            </w:r>
          </w:p>
        </w:tc>
        <w:tc>
          <w:tcPr>
            <w:tcW w:w="4218" w:type="dxa"/>
            <w:gridSpan w:val="4"/>
            <w:noWrap w:val="0"/>
            <w:vAlign w:val="center"/>
          </w:tcPr>
          <w:p w14:paraId="365144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平行样</w:t>
            </w:r>
          </w:p>
        </w:tc>
        <w:tc>
          <w:tcPr>
            <w:tcW w:w="2036" w:type="dxa"/>
            <w:gridSpan w:val="2"/>
            <w:noWrap w:val="0"/>
            <w:vAlign w:val="center"/>
          </w:tcPr>
          <w:p w14:paraId="1C669D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加标回收</w:t>
            </w:r>
          </w:p>
        </w:tc>
        <w:tc>
          <w:tcPr>
            <w:tcW w:w="2173" w:type="dxa"/>
            <w:gridSpan w:val="2"/>
            <w:noWrap w:val="0"/>
            <w:vAlign w:val="center"/>
          </w:tcPr>
          <w:p w14:paraId="1AE760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标样</w:t>
            </w:r>
          </w:p>
        </w:tc>
        <w:tc>
          <w:tcPr>
            <w:tcW w:w="2410" w:type="dxa"/>
            <w:gridSpan w:val="2"/>
            <w:noWrap w:val="0"/>
            <w:vAlign w:val="center"/>
          </w:tcPr>
          <w:p w14:paraId="36C127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全程序空白</w:t>
            </w:r>
          </w:p>
        </w:tc>
      </w:tr>
      <w:tr w14:paraId="6530D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Merge w:val="continue"/>
            <w:noWrap w:val="0"/>
            <w:vAlign w:val="center"/>
          </w:tcPr>
          <w:p w14:paraId="2B40E3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p>
        </w:tc>
        <w:tc>
          <w:tcPr>
            <w:tcW w:w="1700" w:type="dxa"/>
            <w:vMerge w:val="continue"/>
            <w:noWrap w:val="0"/>
            <w:vAlign w:val="center"/>
          </w:tcPr>
          <w:p w14:paraId="34CAC4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p>
        </w:tc>
        <w:tc>
          <w:tcPr>
            <w:tcW w:w="946" w:type="dxa"/>
            <w:vMerge w:val="continue"/>
            <w:noWrap w:val="0"/>
            <w:vAlign w:val="center"/>
          </w:tcPr>
          <w:p w14:paraId="7EDEC0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p>
        </w:tc>
        <w:tc>
          <w:tcPr>
            <w:tcW w:w="654" w:type="dxa"/>
            <w:noWrap w:val="0"/>
            <w:vAlign w:val="center"/>
          </w:tcPr>
          <w:p w14:paraId="730CAB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现场</w:t>
            </w:r>
          </w:p>
        </w:tc>
        <w:tc>
          <w:tcPr>
            <w:tcW w:w="1300" w:type="dxa"/>
            <w:noWrap w:val="0"/>
            <w:vAlign w:val="center"/>
          </w:tcPr>
          <w:p w14:paraId="0E82F3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合格率（%）</w:t>
            </w:r>
          </w:p>
        </w:tc>
        <w:tc>
          <w:tcPr>
            <w:tcW w:w="882" w:type="dxa"/>
            <w:noWrap w:val="0"/>
            <w:vAlign w:val="center"/>
          </w:tcPr>
          <w:p w14:paraId="5ECD49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实验室</w:t>
            </w:r>
          </w:p>
        </w:tc>
        <w:tc>
          <w:tcPr>
            <w:tcW w:w="1382" w:type="dxa"/>
            <w:noWrap w:val="0"/>
            <w:vAlign w:val="center"/>
          </w:tcPr>
          <w:p w14:paraId="1BA332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合格率（%）</w:t>
            </w:r>
          </w:p>
        </w:tc>
        <w:tc>
          <w:tcPr>
            <w:tcW w:w="727" w:type="dxa"/>
            <w:noWrap w:val="0"/>
            <w:vAlign w:val="center"/>
          </w:tcPr>
          <w:p w14:paraId="7A40F9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个数</w:t>
            </w:r>
          </w:p>
        </w:tc>
        <w:tc>
          <w:tcPr>
            <w:tcW w:w="1309" w:type="dxa"/>
            <w:noWrap w:val="0"/>
            <w:vAlign w:val="center"/>
          </w:tcPr>
          <w:p w14:paraId="0468BB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合格率（%）</w:t>
            </w:r>
          </w:p>
        </w:tc>
        <w:tc>
          <w:tcPr>
            <w:tcW w:w="755" w:type="dxa"/>
            <w:noWrap w:val="0"/>
            <w:vAlign w:val="center"/>
          </w:tcPr>
          <w:p w14:paraId="2FA591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个数</w:t>
            </w:r>
          </w:p>
        </w:tc>
        <w:tc>
          <w:tcPr>
            <w:tcW w:w="1418" w:type="dxa"/>
            <w:noWrap w:val="0"/>
            <w:vAlign w:val="center"/>
          </w:tcPr>
          <w:p w14:paraId="11C343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合格率（%）</w:t>
            </w:r>
          </w:p>
        </w:tc>
        <w:tc>
          <w:tcPr>
            <w:tcW w:w="964" w:type="dxa"/>
            <w:noWrap w:val="0"/>
            <w:vAlign w:val="center"/>
          </w:tcPr>
          <w:p w14:paraId="0F0B51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个数</w:t>
            </w:r>
          </w:p>
        </w:tc>
        <w:tc>
          <w:tcPr>
            <w:tcW w:w="1446" w:type="dxa"/>
            <w:noWrap w:val="0"/>
            <w:vAlign w:val="center"/>
          </w:tcPr>
          <w:p w14:paraId="1DFA8A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合格率（%）</w:t>
            </w:r>
          </w:p>
        </w:tc>
      </w:tr>
      <w:tr w14:paraId="15893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restart"/>
            <w:noWrap w:val="0"/>
            <w:vAlign w:val="center"/>
          </w:tcPr>
          <w:p w14:paraId="702B0F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废水</w:t>
            </w:r>
          </w:p>
        </w:tc>
        <w:tc>
          <w:tcPr>
            <w:tcW w:w="1700" w:type="dxa"/>
            <w:noWrap w:val="0"/>
            <w:vAlign w:val="center"/>
          </w:tcPr>
          <w:p w14:paraId="5BA59F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pH值</w:t>
            </w:r>
          </w:p>
        </w:tc>
        <w:tc>
          <w:tcPr>
            <w:tcW w:w="946" w:type="dxa"/>
            <w:noWrap w:val="0"/>
            <w:vAlign w:val="center"/>
          </w:tcPr>
          <w:p w14:paraId="2915D0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color w:val="auto"/>
                <w:kern w:val="2"/>
                <w:sz w:val="21"/>
                <w:szCs w:val="24"/>
                <w:highlight w:val="none"/>
                <w:lang w:val="en-US" w:eastAsia="zh-CN" w:bidi="ar-SA"/>
              </w:rPr>
              <w:t>32</w:t>
            </w:r>
          </w:p>
        </w:tc>
        <w:tc>
          <w:tcPr>
            <w:tcW w:w="654" w:type="dxa"/>
            <w:noWrap w:val="0"/>
            <w:vAlign w:val="center"/>
          </w:tcPr>
          <w:p w14:paraId="2EB27C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4</w:t>
            </w:r>
          </w:p>
        </w:tc>
        <w:tc>
          <w:tcPr>
            <w:tcW w:w="1300" w:type="dxa"/>
            <w:noWrap w:val="0"/>
            <w:vAlign w:val="center"/>
          </w:tcPr>
          <w:p w14:paraId="59DCA8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882" w:type="dxa"/>
            <w:noWrap w:val="0"/>
            <w:vAlign w:val="center"/>
          </w:tcPr>
          <w:p w14:paraId="2AC839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82" w:type="dxa"/>
            <w:noWrap w:val="0"/>
            <w:vAlign w:val="center"/>
          </w:tcPr>
          <w:p w14:paraId="09A060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27" w:type="dxa"/>
            <w:noWrap w:val="0"/>
            <w:vAlign w:val="center"/>
          </w:tcPr>
          <w:p w14:paraId="31853B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center"/>
          </w:tcPr>
          <w:p w14:paraId="71E985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center"/>
          </w:tcPr>
          <w:p w14:paraId="233EB9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18" w:type="dxa"/>
            <w:noWrap w:val="0"/>
            <w:vAlign w:val="center"/>
          </w:tcPr>
          <w:p w14:paraId="0E8094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964" w:type="dxa"/>
            <w:noWrap w:val="0"/>
            <w:vAlign w:val="center"/>
          </w:tcPr>
          <w:p w14:paraId="0398CF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46" w:type="dxa"/>
            <w:noWrap w:val="0"/>
            <w:vAlign w:val="center"/>
          </w:tcPr>
          <w:p w14:paraId="39C72B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r>
      <w:tr w14:paraId="08488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continue"/>
            <w:noWrap w:val="0"/>
            <w:vAlign w:val="center"/>
          </w:tcPr>
          <w:p w14:paraId="7FAE94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p>
        </w:tc>
        <w:tc>
          <w:tcPr>
            <w:tcW w:w="1700" w:type="dxa"/>
            <w:noWrap w:val="0"/>
            <w:vAlign w:val="center"/>
          </w:tcPr>
          <w:p w14:paraId="39A06B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化学需氧量</w:t>
            </w:r>
          </w:p>
        </w:tc>
        <w:tc>
          <w:tcPr>
            <w:tcW w:w="946" w:type="dxa"/>
            <w:noWrap w:val="0"/>
            <w:vAlign w:val="center"/>
          </w:tcPr>
          <w:p w14:paraId="7BAB63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32</w:t>
            </w:r>
          </w:p>
        </w:tc>
        <w:tc>
          <w:tcPr>
            <w:tcW w:w="654" w:type="dxa"/>
            <w:noWrap w:val="0"/>
            <w:vAlign w:val="center"/>
          </w:tcPr>
          <w:p w14:paraId="75BCE6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4</w:t>
            </w:r>
          </w:p>
        </w:tc>
        <w:tc>
          <w:tcPr>
            <w:tcW w:w="1300" w:type="dxa"/>
            <w:noWrap w:val="0"/>
            <w:vAlign w:val="center"/>
          </w:tcPr>
          <w:p w14:paraId="29208B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882" w:type="dxa"/>
            <w:noWrap w:val="0"/>
            <w:vAlign w:val="center"/>
          </w:tcPr>
          <w:p w14:paraId="6482EE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4</w:t>
            </w:r>
          </w:p>
        </w:tc>
        <w:tc>
          <w:tcPr>
            <w:tcW w:w="1382" w:type="dxa"/>
            <w:noWrap w:val="0"/>
            <w:vAlign w:val="center"/>
          </w:tcPr>
          <w:p w14:paraId="3073A6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727" w:type="dxa"/>
            <w:noWrap w:val="0"/>
            <w:vAlign w:val="center"/>
          </w:tcPr>
          <w:p w14:paraId="7A6435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center"/>
          </w:tcPr>
          <w:p w14:paraId="2D5C9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center"/>
          </w:tcPr>
          <w:p w14:paraId="57AABC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w:t>
            </w:r>
          </w:p>
        </w:tc>
        <w:tc>
          <w:tcPr>
            <w:tcW w:w="1418" w:type="dxa"/>
            <w:noWrap w:val="0"/>
            <w:vAlign w:val="center"/>
          </w:tcPr>
          <w:p w14:paraId="64C15F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964" w:type="dxa"/>
            <w:noWrap w:val="0"/>
            <w:vAlign w:val="center"/>
          </w:tcPr>
          <w:p w14:paraId="3099FD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w:t>
            </w:r>
          </w:p>
        </w:tc>
        <w:tc>
          <w:tcPr>
            <w:tcW w:w="1446" w:type="dxa"/>
            <w:noWrap w:val="0"/>
            <w:vAlign w:val="center"/>
          </w:tcPr>
          <w:p w14:paraId="293248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r>
      <w:tr w14:paraId="1D77D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continue"/>
            <w:noWrap w:val="0"/>
            <w:vAlign w:val="center"/>
          </w:tcPr>
          <w:p w14:paraId="7113EB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p>
        </w:tc>
        <w:tc>
          <w:tcPr>
            <w:tcW w:w="1700" w:type="dxa"/>
            <w:noWrap w:val="0"/>
            <w:vAlign w:val="center"/>
          </w:tcPr>
          <w:p w14:paraId="1B81E2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悬浮物</w:t>
            </w:r>
          </w:p>
        </w:tc>
        <w:tc>
          <w:tcPr>
            <w:tcW w:w="946" w:type="dxa"/>
            <w:noWrap w:val="0"/>
            <w:vAlign w:val="center"/>
          </w:tcPr>
          <w:p w14:paraId="7F3D86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24</w:t>
            </w:r>
          </w:p>
        </w:tc>
        <w:tc>
          <w:tcPr>
            <w:tcW w:w="654" w:type="dxa"/>
            <w:noWrap w:val="0"/>
            <w:vAlign w:val="center"/>
          </w:tcPr>
          <w:p w14:paraId="6D89C7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0" w:type="dxa"/>
            <w:noWrap w:val="0"/>
            <w:vAlign w:val="center"/>
          </w:tcPr>
          <w:p w14:paraId="5E3A42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882" w:type="dxa"/>
            <w:noWrap w:val="0"/>
            <w:vAlign w:val="center"/>
          </w:tcPr>
          <w:p w14:paraId="415CE7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82" w:type="dxa"/>
            <w:noWrap w:val="0"/>
            <w:vAlign w:val="center"/>
          </w:tcPr>
          <w:p w14:paraId="6C6525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27" w:type="dxa"/>
            <w:noWrap w:val="0"/>
            <w:vAlign w:val="center"/>
          </w:tcPr>
          <w:p w14:paraId="1BBBF0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center"/>
          </w:tcPr>
          <w:p w14:paraId="3BED5B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center"/>
          </w:tcPr>
          <w:p w14:paraId="222F6A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18" w:type="dxa"/>
            <w:noWrap w:val="0"/>
            <w:vAlign w:val="center"/>
          </w:tcPr>
          <w:p w14:paraId="285DC3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964" w:type="dxa"/>
            <w:noWrap w:val="0"/>
            <w:vAlign w:val="center"/>
          </w:tcPr>
          <w:p w14:paraId="086A61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46" w:type="dxa"/>
            <w:noWrap w:val="0"/>
            <w:vAlign w:val="center"/>
          </w:tcPr>
          <w:p w14:paraId="7661FA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r>
      <w:tr w14:paraId="4250B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continue"/>
            <w:noWrap w:val="0"/>
            <w:vAlign w:val="center"/>
          </w:tcPr>
          <w:p w14:paraId="5804F5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p>
        </w:tc>
        <w:tc>
          <w:tcPr>
            <w:tcW w:w="1700" w:type="dxa"/>
            <w:noWrap w:val="0"/>
            <w:vAlign w:val="center"/>
          </w:tcPr>
          <w:p w14:paraId="597562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氨氮</w:t>
            </w:r>
          </w:p>
        </w:tc>
        <w:tc>
          <w:tcPr>
            <w:tcW w:w="946" w:type="dxa"/>
            <w:noWrap w:val="0"/>
            <w:vAlign w:val="center"/>
          </w:tcPr>
          <w:p w14:paraId="238A67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32</w:t>
            </w:r>
          </w:p>
        </w:tc>
        <w:tc>
          <w:tcPr>
            <w:tcW w:w="654" w:type="dxa"/>
            <w:noWrap w:val="0"/>
            <w:vAlign w:val="center"/>
          </w:tcPr>
          <w:p w14:paraId="7CD37C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4</w:t>
            </w:r>
          </w:p>
        </w:tc>
        <w:tc>
          <w:tcPr>
            <w:tcW w:w="1300" w:type="dxa"/>
            <w:noWrap w:val="0"/>
            <w:vAlign w:val="center"/>
          </w:tcPr>
          <w:p w14:paraId="28507E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882" w:type="dxa"/>
            <w:noWrap w:val="0"/>
            <w:vAlign w:val="center"/>
          </w:tcPr>
          <w:p w14:paraId="5FD950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4</w:t>
            </w:r>
          </w:p>
        </w:tc>
        <w:tc>
          <w:tcPr>
            <w:tcW w:w="1382" w:type="dxa"/>
            <w:noWrap w:val="0"/>
            <w:vAlign w:val="center"/>
          </w:tcPr>
          <w:p w14:paraId="3B5F97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727" w:type="dxa"/>
            <w:noWrap w:val="0"/>
            <w:vAlign w:val="center"/>
          </w:tcPr>
          <w:p w14:paraId="6D4896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center"/>
          </w:tcPr>
          <w:p w14:paraId="4F04E3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center"/>
          </w:tcPr>
          <w:p w14:paraId="73EBC3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w:t>
            </w:r>
          </w:p>
        </w:tc>
        <w:tc>
          <w:tcPr>
            <w:tcW w:w="1418" w:type="dxa"/>
            <w:noWrap w:val="0"/>
            <w:vAlign w:val="center"/>
          </w:tcPr>
          <w:p w14:paraId="6A36C1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964" w:type="dxa"/>
            <w:noWrap w:val="0"/>
            <w:vAlign w:val="center"/>
          </w:tcPr>
          <w:p w14:paraId="1C4113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w:t>
            </w:r>
          </w:p>
        </w:tc>
        <w:tc>
          <w:tcPr>
            <w:tcW w:w="1446" w:type="dxa"/>
            <w:noWrap w:val="0"/>
            <w:vAlign w:val="center"/>
          </w:tcPr>
          <w:p w14:paraId="36D665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r>
      <w:tr w14:paraId="5BDAA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continue"/>
            <w:noWrap w:val="0"/>
            <w:vAlign w:val="center"/>
          </w:tcPr>
          <w:p w14:paraId="5729DC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p>
        </w:tc>
        <w:tc>
          <w:tcPr>
            <w:tcW w:w="1700" w:type="dxa"/>
            <w:noWrap w:val="0"/>
            <w:vAlign w:val="center"/>
          </w:tcPr>
          <w:p w14:paraId="1176FB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总磷</w:t>
            </w:r>
          </w:p>
        </w:tc>
        <w:tc>
          <w:tcPr>
            <w:tcW w:w="946" w:type="dxa"/>
            <w:noWrap w:val="0"/>
            <w:vAlign w:val="center"/>
          </w:tcPr>
          <w:p w14:paraId="2AFE75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24</w:t>
            </w:r>
          </w:p>
        </w:tc>
        <w:tc>
          <w:tcPr>
            <w:tcW w:w="654" w:type="dxa"/>
            <w:noWrap w:val="0"/>
            <w:vAlign w:val="center"/>
          </w:tcPr>
          <w:p w14:paraId="788919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4</w:t>
            </w:r>
          </w:p>
        </w:tc>
        <w:tc>
          <w:tcPr>
            <w:tcW w:w="1300" w:type="dxa"/>
            <w:noWrap w:val="0"/>
            <w:vAlign w:val="center"/>
          </w:tcPr>
          <w:p w14:paraId="3C6863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882" w:type="dxa"/>
            <w:noWrap w:val="0"/>
            <w:vAlign w:val="center"/>
          </w:tcPr>
          <w:p w14:paraId="7E1A04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4</w:t>
            </w:r>
          </w:p>
        </w:tc>
        <w:tc>
          <w:tcPr>
            <w:tcW w:w="1382" w:type="dxa"/>
            <w:noWrap w:val="0"/>
            <w:vAlign w:val="center"/>
          </w:tcPr>
          <w:p w14:paraId="54C8CC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727" w:type="dxa"/>
            <w:noWrap w:val="0"/>
            <w:vAlign w:val="top"/>
          </w:tcPr>
          <w:p w14:paraId="52C6AE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4</w:t>
            </w:r>
          </w:p>
        </w:tc>
        <w:tc>
          <w:tcPr>
            <w:tcW w:w="1309" w:type="dxa"/>
            <w:noWrap w:val="0"/>
            <w:vAlign w:val="top"/>
          </w:tcPr>
          <w:p w14:paraId="76E01F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755" w:type="dxa"/>
            <w:noWrap w:val="0"/>
            <w:vAlign w:val="center"/>
          </w:tcPr>
          <w:p w14:paraId="57F6FB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18" w:type="dxa"/>
            <w:noWrap w:val="0"/>
            <w:vAlign w:val="center"/>
          </w:tcPr>
          <w:p w14:paraId="78F78B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964" w:type="dxa"/>
            <w:noWrap w:val="0"/>
            <w:vAlign w:val="center"/>
          </w:tcPr>
          <w:p w14:paraId="6965CA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w:t>
            </w:r>
          </w:p>
        </w:tc>
        <w:tc>
          <w:tcPr>
            <w:tcW w:w="1446" w:type="dxa"/>
            <w:noWrap w:val="0"/>
            <w:vAlign w:val="center"/>
          </w:tcPr>
          <w:p w14:paraId="141A77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r>
      <w:tr w14:paraId="6655C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continue"/>
            <w:noWrap w:val="0"/>
            <w:vAlign w:val="center"/>
          </w:tcPr>
          <w:p w14:paraId="729333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p>
        </w:tc>
        <w:tc>
          <w:tcPr>
            <w:tcW w:w="1700" w:type="dxa"/>
            <w:noWrap w:val="0"/>
            <w:vAlign w:val="center"/>
          </w:tcPr>
          <w:p w14:paraId="086D43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kern w:val="2"/>
                <w:sz w:val="21"/>
                <w:szCs w:val="21"/>
                <w:highlight w:val="none"/>
                <w:lang w:val="en-US" w:eastAsia="zh-CN" w:bidi="ar-SA"/>
              </w:rPr>
              <w:t>总氮</w:t>
            </w:r>
          </w:p>
        </w:tc>
        <w:tc>
          <w:tcPr>
            <w:tcW w:w="946" w:type="dxa"/>
            <w:noWrap w:val="0"/>
            <w:vAlign w:val="center"/>
          </w:tcPr>
          <w:p w14:paraId="4BAEAE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24</w:t>
            </w:r>
          </w:p>
        </w:tc>
        <w:tc>
          <w:tcPr>
            <w:tcW w:w="654" w:type="dxa"/>
            <w:noWrap w:val="0"/>
            <w:vAlign w:val="center"/>
          </w:tcPr>
          <w:p w14:paraId="2B0AEA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4</w:t>
            </w:r>
          </w:p>
        </w:tc>
        <w:tc>
          <w:tcPr>
            <w:tcW w:w="1300" w:type="dxa"/>
            <w:noWrap w:val="0"/>
            <w:vAlign w:val="center"/>
          </w:tcPr>
          <w:p w14:paraId="5B1EB8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882" w:type="dxa"/>
            <w:noWrap w:val="0"/>
            <w:vAlign w:val="center"/>
          </w:tcPr>
          <w:p w14:paraId="1FE304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4</w:t>
            </w:r>
          </w:p>
        </w:tc>
        <w:tc>
          <w:tcPr>
            <w:tcW w:w="1382" w:type="dxa"/>
            <w:noWrap w:val="0"/>
            <w:vAlign w:val="center"/>
          </w:tcPr>
          <w:p w14:paraId="58F9AA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727" w:type="dxa"/>
            <w:noWrap w:val="0"/>
            <w:vAlign w:val="top"/>
          </w:tcPr>
          <w:p w14:paraId="03ED85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4</w:t>
            </w:r>
          </w:p>
        </w:tc>
        <w:tc>
          <w:tcPr>
            <w:tcW w:w="1309" w:type="dxa"/>
            <w:noWrap w:val="0"/>
            <w:vAlign w:val="top"/>
          </w:tcPr>
          <w:p w14:paraId="2057CA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755" w:type="dxa"/>
            <w:noWrap w:val="0"/>
            <w:vAlign w:val="center"/>
          </w:tcPr>
          <w:p w14:paraId="10C1D8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18" w:type="dxa"/>
            <w:noWrap w:val="0"/>
            <w:vAlign w:val="center"/>
          </w:tcPr>
          <w:p w14:paraId="73DC0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964" w:type="dxa"/>
            <w:noWrap w:val="0"/>
            <w:vAlign w:val="center"/>
          </w:tcPr>
          <w:p w14:paraId="00E841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w:t>
            </w:r>
          </w:p>
        </w:tc>
        <w:tc>
          <w:tcPr>
            <w:tcW w:w="1446" w:type="dxa"/>
            <w:noWrap w:val="0"/>
            <w:vAlign w:val="center"/>
          </w:tcPr>
          <w:p w14:paraId="1CD2A5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r>
      <w:tr w14:paraId="3852D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continue"/>
            <w:noWrap w:val="0"/>
            <w:vAlign w:val="center"/>
          </w:tcPr>
          <w:p w14:paraId="64C06E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p>
        </w:tc>
        <w:tc>
          <w:tcPr>
            <w:tcW w:w="1700" w:type="dxa"/>
            <w:noWrap w:val="0"/>
            <w:vAlign w:val="center"/>
          </w:tcPr>
          <w:p w14:paraId="3D0A52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lang w:val="en-US" w:eastAsia="zh-CN"/>
              </w:rPr>
              <w:t>石油类</w:t>
            </w:r>
          </w:p>
        </w:tc>
        <w:tc>
          <w:tcPr>
            <w:tcW w:w="946" w:type="dxa"/>
            <w:noWrap w:val="0"/>
            <w:vAlign w:val="top"/>
          </w:tcPr>
          <w:p w14:paraId="258B3C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32</w:t>
            </w:r>
          </w:p>
        </w:tc>
        <w:tc>
          <w:tcPr>
            <w:tcW w:w="654" w:type="dxa"/>
            <w:noWrap w:val="0"/>
            <w:vAlign w:val="top"/>
          </w:tcPr>
          <w:p w14:paraId="762D5A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0" w:type="dxa"/>
            <w:noWrap w:val="0"/>
            <w:vAlign w:val="top"/>
          </w:tcPr>
          <w:p w14:paraId="1778C7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882" w:type="dxa"/>
            <w:noWrap w:val="0"/>
            <w:vAlign w:val="top"/>
          </w:tcPr>
          <w:p w14:paraId="33F0C3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82" w:type="dxa"/>
            <w:noWrap w:val="0"/>
            <w:vAlign w:val="top"/>
          </w:tcPr>
          <w:p w14:paraId="74DD3A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27" w:type="dxa"/>
            <w:noWrap w:val="0"/>
            <w:vAlign w:val="top"/>
          </w:tcPr>
          <w:p w14:paraId="576D29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top"/>
          </w:tcPr>
          <w:p w14:paraId="363D7D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top"/>
          </w:tcPr>
          <w:p w14:paraId="02E3B6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18" w:type="dxa"/>
            <w:noWrap w:val="0"/>
            <w:vAlign w:val="top"/>
          </w:tcPr>
          <w:p w14:paraId="150A78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964" w:type="dxa"/>
            <w:noWrap w:val="0"/>
            <w:vAlign w:val="center"/>
          </w:tcPr>
          <w:p w14:paraId="7F5ED8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w:t>
            </w:r>
          </w:p>
        </w:tc>
        <w:tc>
          <w:tcPr>
            <w:tcW w:w="1446" w:type="dxa"/>
            <w:noWrap w:val="0"/>
            <w:vAlign w:val="center"/>
          </w:tcPr>
          <w:p w14:paraId="4B4AE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r>
      <w:tr w14:paraId="31BA4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continue"/>
            <w:noWrap w:val="0"/>
            <w:vAlign w:val="center"/>
          </w:tcPr>
          <w:p w14:paraId="65E111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p>
        </w:tc>
        <w:tc>
          <w:tcPr>
            <w:tcW w:w="1700" w:type="dxa"/>
            <w:noWrap w:val="0"/>
            <w:vAlign w:val="center"/>
          </w:tcPr>
          <w:p w14:paraId="5DC27D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kern w:val="2"/>
                <w:sz w:val="21"/>
                <w:szCs w:val="21"/>
                <w:highlight w:val="none"/>
                <w:lang w:val="en-US" w:eastAsia="zh-CN" w:bidi="ar-SA"/>
              </w:rPr>
              <w:t>动植物油</w:t>
            </w:r>
          </w:p>
        </w:tc>
        <w:tc>
          <w:tcPr>
            <w:tcW w:w="946" w:type="dxa"/>
            <w:noWrap w:val="0"/>
            <w:vAlign w:val="top"/>
          </w:tcPr>
          <w:p w14:paraId="347F97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8</w:t>
            </w:r>
          </w:p>
        </w:tc>
        <w:tc>
          <w:tcPr>
            <w:tcW w:w="654" w:type="dxa"/>
            <w:noWrap w:val="0"/>
            <w:vAlign w:val="top"/>
          </w:tcPr>
          <w:p w14:paraId="124285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0" w:type="dxa"/>
            <w:noWrap w:val="0"/>
            <w:vAlign w:val="top"/>
          </w:tcPr>
          <w:p w14:paraId="512008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882" w:type="dxa"/>
            <w:noWrap w:val="0"/>
            <w:vAlign w:val="top"/>
          </w:tcPr>
          <w:p w14:paraId="65593F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82" w:type="dxa"/>
            <w:noWrap w:val="0"/>
            <w:vAlign w:val="top"/>
          </w:tcPr>
          <w:p w14:paraId="6565B8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27" w:type="dxa"/>
            <w:noWrap w:val="0"/>
            <w:vAlign w:val="top"/>
          </w:tcPr>
          <w:p w14:paraId="1DB074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top"/>
          </w:tcPr>
          <w:p w14:paraId="57EA0D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top"/>
          </w:tcPr>
          <w:p w14:paraId="03C97D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18" w:type="dxa"/>
            <w:noWrap w:val="0"/>
            <w:vAlign w:val="top"/>
          </w:tcPr>
          <w:p w14:paraId="7F33A8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964" w:type="dxa"/>
            <w:noWrap w:val="0"/>
            <w:vAlign w:val="center"/>
          </w:tcPr>
          <w:p w14:paraId="47171B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w:t>
            </w:r>
          </w:p>
        </w:tc>
        <w:tc>
          <w:tcPr>
            <w:tcW w:w="1446" w:type="dxa"/>
            <w:noWrap w:val="0"/>
            <w:vAlign w:val="center"/>
          </w:tcPr>
          <w:p w14:paraId="51C1C1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r>
      <w:tr w14:paraId="24A1C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continue"/>
            <w:noWrap w:val="0"/>
            <w:vAlign w:val="center"/>
          </w:tcPr>
          <w:p w14:paraId="50D3E6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rPr>
            </w:pPr>
          </w:p>
        </w:tc>
        <w:tc>
          <w:tcPr>
            <w:tcW w:w="1700" w:type="dxa"/>
            <w:noWrap w:val="0"/>
            <w:vAlign w:val="center"/>
          </w:tcPr>
          <w:p w14:paraId="0C665D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rPr>
              <w:t>五日生化需氧量</w:t>
            </w:r>
          </w:p>
        </w:tc>
        <w:tc>
          <w:tcPr>
            <w:tcW w:w="946" w:type="dxa"/>
            <w:noWrap w:val="0"/>
            <w:vAlign w:val="top"/>
          </w:tcPr>
          <w:p w14:paraId="16524A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32</w:t>
            </w:r>
          </w:p>
        </w:tc>
        <w:tc>
          <w:tcPr>
            <w:tcW w:w="654" w:type="dxa"/>
            <w:noWrap w:val="0"/>
            <w:vAlign w:val="top"/>
          </w:tcPr>
          <w:p w14:paraId="1B7CCE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4</w:t>
            </w:r>
          </w:p>
        </w:tc>
        <w:tc>
          <w:tcPr>
            <w:tcW w:w="1300" w:type="dxa"/>
            <w:noWrap w:val="0"/>
            <w:vAlign w:val="top"/>
          </w:tcPr>
          <w:p w14:paraId="5F5B89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882" w:type="dxa"/>
            <w:noWrap w:val="0"/>
            <w:vAlign w:val="top"/>
          </w:tcPr>
          <w:p w14:paraId="535899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4</w:t>
            </w:r>
          </w:p>
        </w:tc>
        <w:tc>
          <w:tcPr>
            <w:tcW w:w="1382" w:type="dxa"/>
            <w:noWrap w:val="0"/>
            <w:vAlign w:val="top"/>
          </w:tcPr>
          <w:p w14:paraId="211017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727" w:type="dxa"/>
            <w:noWrap w:val="0"/>
            <w:vAlign w:val="top"/>
          </w:tcPr>
          <w:p w14:paraId="0F674F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top"/>
          </w:tcPr>
          <w:p w14:paraId="4723E7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top"/>
          </w:tcPr>
          <w:p w14:paraId="668777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w:t>
            </w:r>
          </w:p>
        </w:tc>
        <w:tc>
          <w:tcPr>
            <w:tcW w:w="1418" w:type="dxa"/>
            <w:noWrap w:val="0"/>
            <w:vAlign w:val="top"/>
          </w:tcPr>
          <w:p w14:paraId="7FA876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964" w:type="dxa"/>
            <w:noWrap w:val="0"/>
            <w:vAlign w:val="center"/>
          </w:tcPr>
          <w:p w14:paraId="40C888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w:t>
            </w:r>
          </w:p>
        </w:tc>
        <w:tc>
          <w:tcPr>
            <w:tcW w:w="1446" w:type="dxa"/>
            <w:noWrap w:val="0"/>
            <w:vAlign w:val="center"/>
          </w:tcPr>
          <w:p w14:paraId="38919D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r>
      <w:tr w14:paraId="400926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continue"/>
            <w:noWrap w:val="0"/>
            <w:vAlign w:val="center"/>
          </w:tcPr>
          <w:p w14:paraId="428734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p>
        </w:tc>
        <w:tc>
          <w:tcPr>
            <w:tcW w:w="1700" w:type="dxa"/>
            <w:noWrap w:val="0"/>
            <w:vAlign w:val="center"/>
          </w:tcPr>
          <w:p w14:paraId="565C9C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eastAsia="仿宋" w:cs="Times New Roman"/>
                <w:kern w:val="2"/>
                <w:sz w:val="21"/>
                <w:szCs w:val="21"/>
                <w:highlight w:val="none"/>
                <w:lang w:val="en-US" w:eastAsia="zh-CN" w:bidi="ar-SA"/>
              </w:rPr>
              <w:t>*</w:t>
            </w:r>
          </w:p>
        </w:tc>
        <w:tc>
          <w:tcPr>
            <w:tcW w:w="946" w:type="dxa"/>
            <w:noWrap w:val="0"/>
            <w:vAlign w:val="top"/>
          </w:tcPr>
          <w:p w14:paraId="6A8918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32</w:t>
            </w:r>
          </w:p>
        </w:tc>
        <w:tc>
          <w:tcPr>
            <w:tcW w:w="654" w:type="dxa"/>
            <w:noWrap w:val="0"/>
            <w:vAlign w:val="top"/>
          </w:tcPr>
          <w:p w14:paraId="78BE00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4</w:t>
            </w:r>
          </w:p>
        </w:tc>
        <w:tc>
          <w:tcPr>
            <w:tcW w:w="1300" w:type="dxa"/>
            <w:noWrap w:val="0"/>
            <w:vAlign w:val="top"/>
          </w:tcPr>
          <w:p w14:paraId="07BD1E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882" w:type="dxa"/>
            <w:noWrap w:val="0"/>
            <w:vAlign w:val="top"/>
          </w:tcPr>
          <w:p w14:paraId="29D8AB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w:t>
            </w:r>
          </w:p>
        </w:tc>
        <w:tc>
          <w:tcPr>
            <w:tcW w:w="1382" w:type="dxa"/>
            <w:noWrap w:val="0"/>
            <w:vAlign w:val="top"/>
          </w:tcPr>
          <w:p w14:paraId="7A2E28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727" w:type="dxa"/>
            <w:noWrap w:val="0"/>
            <w:vAlign w:val="top"/>
          </w:tcPr>
          <w:p w14:paraId="4326FE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3</w:t>
            </w:r>
          </w:p>
        </w:tc>
        <w:tc>
          <w:tcPr>
            <w:tcW w:w="1309" w:type="dxa"/>
            <w:noWrap w:val="0"/>
            <w:vAlign w:val="top"/>
          </w:tcPr>
          <w:p w14:paraId="0005FB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755" w:type="dxa"/>
            <w:noWrap w:val="0"/>
            <w:vAlign w:val="top"/>
          </w:tcPr>
          <w:p w14:paraId="026C85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18" w:type="dxa"/>
            <w:noWrap w:val="0"/>
            <w:vAlign w:val="top"/>
          </w:tcPr>
          <w:p w14:paraId="3BD369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964" w:type="dxa"/>
            <w:noWrap w:val="0"/>
            <w:vAlign w:val="top"/>
          </w:tcPr>
          <w:p w14:paraId="69F04B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4</w:t>
            </w:r>
          </w:p>
        </w:tc>
        <w:tc>
          <w:tcPr>
            <w:tcW w:w="1446" w:type="dxa"/>
            <w:noWrap w:val="0"/>
            <w:vAlign w:val="top"/>
          </w:tcPr>
          <w:p w14:paraId="6D2021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r>
      <w:tr w14:paraId="0A4EE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restart"/>
            <w:noWrap w:val="0"/>
            <w:vAlign w:val="center"/>
          </w:tcPr>
          <w:p w14:paraId="7C719E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无组织废气</w:t>
            </w:r>
          </w:p>
        </w:tc>
        <w:tc>
          <w:tcPr>
            <w:tcW w:w="1700" w:type="dxa"/>
            <w:noWrap w:val="0"/>
            <w:vAlign w:val="center"/>
          </w:tcPr>
          <w:p w14:paraId="7B95D7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0"/>
                <w:sz w:val="21"/>
                <w:szCs w:val="21"/>
                <w:highlight w:val="none"/>
                <w:lang w:val="en-US" w:eastAsia="zh-CN" w:bidi="ar-SA"/>
              </w:rPr>
            </w:pPr>
            <w:r>
              <w:rPr>
                <w:rFonts w:hint="default" w:ascii="Times New Roman" w:hAnsi="Times New Roman" w:eastAsia="仿宋" w:cs="Times New Roman"/>
                <w:kern w:val="0"/>
                <w:sz w:val="21"/>
                <w:szCs w:val="21"/>
                <w:highlight w:val="none"/>
                <w:lang w:val="en-US" w:eastAsia="zh-CN"/>
              </w:rPr>
              <w:t>氨</w:t>
            </w:r>
          </w:p>
        </w:tc>
        <w:tc>
          <w:tcPr>
            <w:tcW w:w="946" w:type="dxa"/>
            <w:noWrap w:val="0"/>
            <w:vAlign w:val="top"/>
          </w:tcPr>
          <w:p w14:paraId="7FA0BF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24</w:t>
            </w:r>
          </w:p>
        </w:tc>
        <w:tc>
          <w:tcPr>
            <w:tcW w:w="654" w:type="dxa"/>
            <w:noWrap w:val="0"/>
            <w:vAlign w:val="top"/>
          </w:tcPr>
          <w:p w14:paraId="54BAA2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0" w:type="dxa"/>
            <w:noWrap w:val="0"/>
            <w:vAlign w:val="top"/>
          </w:tcPr>
          <w:p w14:paraId="39552C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882" w:type="dxa"/>
            <w:noWrap w:val="0"/>
            <w:vAlign w:val="top"/>
          </w:tcPr>
          <w:p w14:paraId="583065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82" w:type="dxa"/>
            <w:noWrap w:val="0"/>
            <w:vAlign w:val="top"/>
          </w:tcPr>
          <w:p w14:paraId="0AF2A6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27" w:type="dxa"/>
            <w:noWrap w:val="0"/>
            <w:vAlign w:val="top"/>
          </w:tcPr>
          <w:p w14:paraId="6B10DC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top"/>
          </w:tcPr>
          <w:p w14:paraId="2379FB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top"/>
          </w:tcPr>
          <w:p w14:paraId="06A20E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18" w:type="dxa"/>
            <w:noWrap w:val="0"/>
            <w:vAlign w:val="top"/>
          </w:tcPr>
          <w:p w14:paraId="6A13E7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964" w:type="dxa"/>
            <w:noWrap w:val="0"/>
            <w:vAlign w:val="top"/>
          </w:tcPr>
          <w:p w14:paraId="5B3D89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w:t>
            </w:r>
          </w:p>
        </w:tc>
        <w:tc>
          <w:tcPr>
            <w:tcW w:w="1446" w:type="dxa"/>
            <w:noWrap w:val="0"/>
            <w:vAlign w:val="top"/>
          </w:tcPr>
          <w:p w14:paraId="51CAF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r>
      <w:tr w14:paraId="06E3B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continue"/>
            <w:noWrap w:val="0"/>
            <w:vAlign w:val="center"/>
          </w:tcPr>
          <w:p w14:paraId="592911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p>
        </w:tc>
        <w:tc>
          <w:tcPr>
            <w:tcW w:w="1700" w:type="dxa"/>
            <w:noWrap w:val="0"/>
            <w:vAlign w:val="center"/>
          </w:tcPr>
          <w:p w14:paraId="1B0BDA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kern w:val="0"/>
                <w:sz w:val="21"/>
                <w:szCs w:val="21"/>
                <w:highlight w:val="none"/>
                <w:lang w:val="en-US" w:eastAsia="zh-CN"/>
              </w:rPr>
              <w:t>硫化氢</w:t>
            </w:r>
          </w:p>
        </w:tc>
        <w:tc>
          <w:tcPr>
            <w:tcW w:w="946" w:type="dxa"/>
            <w:noWrap w:val="0"/>
            <w:vAlign w:val="top"/>
          </w:tcPr>
          <w:p w14:paraId="67BC99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24</w:t>
            </w:r>
          </w:p>
        </w:tc>
        <w:tc>
          <w:tcPr>
            <w:tcW w:w="654" w:type="dxa"/>
            <w:noWrap w:val="0"/>
            <w:vAlign w:val="top"/>
          </w:tcPr>
          <w:p w14:paraId="35B014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0" w:type="dxa"/>
            <w:noWrap w:val="0"/>
            <w:vAlign w:val="top"/>
          </w:tcPr>
          <w:p w14:paraId="49438E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882" w:type="dxa"/>
            <w:noWrap w:val="0"/>
            <w:vAlign w:val="top"/>
          </w:tcPr>
          <w:p w14:paraId="3C09FF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82" w:type="dxa"/>
            <w:noWrap w:val="0"/>
            <w:vAlign w:val="top"/>
          </w:tcPr>
          <w:p w14:paraId="7ADD79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27" w:type="dxa"/>
            <w:noWrap w:val="0"/>
            <w:vAlign w:val="top"/>
          </w:tcPr>
          <w:p w14:paraId="2D1D54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top"/>
          </w:tcPr>
          <w:p w14:paraId="677E16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top"/>
          </w:tcPr>
          <w:p w14:paraId="117CFD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18" w:type="dxa"/>
            <w:noWrap w:val="0"/>
            <w:vAlign w:val="top"/>
          </w:tcPr>
          <w:p w14:paraId="27AA9E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964" w:type="dxa"/>
            <w:noWrap w:val="0"/>
            <w:vAlign w:val="top"/>
          </w:tcPr>
          <w:p w14:paraId="4F5CC5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w:t>
            </w:r>
          </w:p>
        </w:tc>
        <w:tc>
          <w:tcPr>
            <w:tcW w:w="1446" w:type="dxa"/>
            <w:noWrap w:val="0"/>
            <w:vAlign w:val="top"/>
          </w:tcPr>
          <w:p w14:paraId="012F28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r>
      <w:tr w14:paraId="522B6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continue"/>
            <w:noWrap w:val="0"/>
            <w:vAlign w:val="center"/>
          </w:tcPr>
          <w:p w14:paraId="78403A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p>
        </w:tc>
        <w:tc>
          <w:tcPr>
            <w:tcW w:w="1700" w:type="dxa"/>
            <w:noWrap w:val="0"/>
            <w:vAlign w:val="center"/>
          </w:tcPr>
          <w:p w14:paraId="08D68D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kern w:val="0"/>
                <w:sz w:val="21"/>
                <w:szCs w:val="21"/>
                <w:highlight w:val="none"/>
                <w:lang w:val="en-US" w:eastAsia="zh-CN"/>
              </w:rPr>
              <w:t>恶臭</w:t>
            </w:r>
          </w:p>
        </w:tc>
        <w:tc>
          <w:tcPr>
            <w:tcW w:w="946" w:type="dxa"/>
            <w:noWrap w:val="0"/>
            <w:vAlign w:val="top"/>
          </w:tcPr>
          <w:p w14:paraId="6573E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24</w:t>
            </w:r>
          </w:p>
        </w:tc>
        <w:tc>
          <w:tcPr>
            <w:tcW w:w="654" w:type="dxa"/>
            <w:noWrap w:val="0"/>
            <w:vAlign w:val="top"/>
          </w:tcPr>
          <w:p w14:paraId="7527C7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0" w:type="dxa"/>
            <w:noWrap w:val="0"/>
            <w:vAlign w:val="top"/>
          </w:tcPr>
          <w:p w14:paraId="019B0F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882" w:type="dxa"/>
            <w:noWrap w:val="0"/>
            <w:vAlign w:val="top"/>
          </w:tcPr>
          <w:p w14:paraId="408C00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82" w:type="dxa"/>
            <w:noWrap w:val="0"/>
            <w:vAlign w:val="top"/>
          </w:tcPr>
          <w:p w14:paraId="78ABBC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27" w:type="dxa"/>
            <w:noWrap w:val="0"/>
            <w:vAlign w:val="top"/>
          </w:tcPr>
          <w:p w14:paraId="24228C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top"/>
          </w:tcPr>
          <w:p w14:paraId="19710D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top"/>
          </w:tcPr>
          <w:p w14:paraId="26E4A4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18" w:type="dxa"/>
            <w:noWrap w:val="0"/>
            <w:vAlign w:val="top"/>
          </w:tcPr>
          <w:p w14:paraId="4CD18D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964" w:type="dxa"/>
            <w:noWrap w:val="0"/>
            <w:vAlign w:val="top"/>
          </w:tcPr>
          <w:p w14:paraId="160D54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46" w:type="dxa"/>
            <w:noWrap w:val="0"/>
            <w:vAlign w:val="top"/>
          </w:tcPr>
          <w:p w14:paraId="0EC7B2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r>
      <w:tr w14:paraId="7F756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continue"/>
            <w:noWrap w:val="0"/>
            <w:vAlign w:val="center"/>
          </w:tcPr>
          <w:p w14:paraId="07F8A8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p>
        </w:tc>
        <w:tc>
          <w:tcPr>
            <w:tcW w:w="1700" w:type="dxa"/>
            <w:noWrap w:val="0"/>
            <w:vAlign w:val="center"/>
          </w:tcPr>
          <w:p w14:paraId="0FBF54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eastAsia="仿宋" w:cs="Times New Roman"/>
                <w:kern w:val="2"/>
                <w:sz w:val="21"/>
                <w:szCs w:val="21"/>
                <w:highlight w:val="none"/>
                <w:lang w:val="en-US" w:eastAsia="zh-CN" w:bidi="ar-SA"/>
              </w:rPr>
              <w:t>*</w:t>
            </w:r>
          </w:p>
        </w:tc>
        <w:tc>
          <w:tcPr>
            <w:tcW w:w="946" w:type="dxa"/>
            <w:noWrap w:val="0"/>
            <w:vAlign w:val="top"/>
          </w:tcPr>
          <w:p w14:paraId="096E84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24</w:t>
            </w:r>
          </w:p>
        </w:tc>
        <w:tc>
          <w:tcPr>
            <w:tcW w:w="654" w:type="dxa"/>
            <w:noWrap w:val="0"/>
            <w:vAlign w:val="top"/>
          </w:tcPr>
          <w:p w14:paraId="5A53C1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0" w:type="dxa"/>
            <w:noWrap w:val="0"/>
            <w:vAlign w:val="top"/>
          </w:tcPr>
          <w:p w14:paraId="3DC452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882" w:type="dxa"/>
            <w:noWrap w:val="0"/>
            <w:vAlign w:val="top"/>
          </w:tcPr>
          <w:p w14:paraId="1B8DB4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82" w:type="dxa"/>
            <w:noWrap w:val="0"/>
            <w:vAlign w:val="top"/>
          </w:tcPr>
          <w:p w14:paraId="66F1C0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27" w:type="dxa"/>
            <w:noWrap w:val="0"/>
            <w:vAlign w:val="top"/>
          </w:tcPr>
          <w:p w14:paraId="515FB5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top"/>
          </w:tcPr>
          <w:p w14:paraId="65A36A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top"/>
          </w:tcPr>
          <w:p w14:paraId="41770D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18" w:type="dxa"/>
            <w:noWrap w:val="0"/>
            <w:vAlign w:val="top"/>
          </w:tcPr>
          <w:p w14:paraId="590144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964" w:type="dxa"/>
            <w:noWrap w:val="0"/>
            <w:vAlign w:val="top"/>
          </w:tcPr>
          <w:p w14:paraId="39EAEF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w:t>
            </w:r>
          </w:p>
        </w:tc>
        <w:tc>
          <w:tcPr>
            <w:tcW w:w="1446" w:type="dxa"/>
            <w:noWrap w:val="0"/>
            <w:vAlign w:val="top"/>
          </w:tcPr>
          <w:p w14:paraId="58B458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r>
      <w:tr w14:paraId="0B668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continue"/>
            <w:noWrap w:val="0"/>
            <w:vAlign w:val="center"/>
          </w:tcPr>
          <w:p w14:paraId="04EA1C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p>
        </w:tc>
        <w:tc>
          <w:tcPr>
            <w:tcW w:w="1700" w:type="dxa"/>
            <w:noWrap w:val="0"/>
            <w:vAlign w:val="center"/>
          </w:tcPr>
          <w:p w14:paraId="4BE133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0"/>
                <w:sz w:val="21"/>
                <w:szCs w:val="21"/>
                <w:highlight w:val="none"/>
                <w:lang w:val="en-US" w:eastAsia="zh-CN" w:bidi="ar-SA"/>
              </w:rPr>
            </w:pPr>
            <w:r>
              <w:rPr>
                <w:rFonts w:hint="default" w:ascii="Times New Roman" w:hAnsi="Times New Roman" w:eastAsia="仿宋" w:cs="Times New Roman"/>
                <w:kern w:val="0"/>
                <w:sz w:val="21"/>
                <w:szCs w:val="21"/>
                <w:highlight w:val="none"/>
                <w:lang w:val="en-US" w:eastAsia="zh-CN"/>
              </w:rPr>
              <w:t>非甲烷总烃</w:t>
            </w:r>
          </w:p>
        </w:tc>
        <w:tc>
          <w:tcPr>
            <w:tcW w:w="946" w:type="dxa"/>
            <w:noWrap w:val="0"/>
            <w:vAlign w:val="top"/>
          </w:tcPr>
          <w:p w14:paraId="2A9A79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222</w:t>
            </w:r>
          </w:p>
        </w:tc>
        <w:tc>
          <w:tcPr>
            <w:tcW w:w="654" w:type="dxa"/>
            <w:noWrap w:val="0"/>
            <w:vAlign w:val="top"/>
          </w:tcPr>
          <w:p w14:paraId="132015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0" w:type="dxa"/>
            <w:noWrap w:val="0"/>
            <w:vAlign w:val="top"/>
          </w:tcPr>
          <w:p w14:paraId="6265F4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882" w:type="dxa"/>
            <w:noWrap w:val="0"/>
            <w:vAlign w:val="top"/>
          </w:tcPr>
          <w:p w14:paraId="26DC51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24</w:t>
            </w:r>
          </w:p>
        </w:tc>
        <w:tc>
          <w:tcPr>
            <w:tcW w:w="1382" w:type="dxa"/>
            <w:noWrap w:val="0"/>
            <w:vAlign w:val="top"/>
          </w:tcPr>
          <w:p w14:paraId="73A947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c>
          <w:tcPr>
            <w:tcW w:w="727" w:type="dxa"/>
            <w:noWrap w:val="0"/>
            <w:vAlign w:val="top"/>
          </w:tcPr>
          <w:p w14:paraId="5216CD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top"/>
          </w:tcPr>
          <w:p w14:paraId="41D65A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top"/>
          </w:tcPr>
          <w:p w14:paraId="18DDC3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18" w:type="dxa"/>
            <w:noWrap w:val="0"/>
            <w:vAlign w:val="top"/>
          </w:tcPr>
          <w:p w14:paraId="51F078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964" w:type="dxa"/>
            <w:noWrap w:val="0"/>
            <w:vAlign w:val="top"/>
          </w:tcPr>
          <w:p w14:paraId="59D46F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2</w:t>
            </w:r>
          </w:p>
        </w:tc>
        <w:tc>
          <w:tcPr>
            <w:tcW w:w="1446" w:type="dxa"/>
            <w:noWrap w:val="0"/>
            <w:vAlign w:val="top"/>
          </w:tcPr>
          <w:p w14:paraId="7333E6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100</w:t>
            </w:r>
          </w:p>
        </w:tc>
      </w:tr>
      <w:tr w14:paraId="4ECBC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noWrap w:val="0"/>
            <w:vAlign w:val="center"/>
          </w:tcPr>
          <w:p w14:paraId="1920A7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rPr>
              <w:t>噪声</w:t>
            </w:r>
          </w:p>
        </w:tc>
        <w:tc>
          <w:tcPr>
            <w:tcW w:w="1700" w:type="dxa"/>
            <w:noWrap w:val="0"/>
            <w:vAlign w:val="center"/>
          </w:tcPr>
          <w:p w14:paraId="750F30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 w:val="21"/>
                <w:szCs w:val="21"/>
                <w:highlight w:val="none"/>
              </w:rPr>
              <w:t>噪声</w:t>
            </w:r>
          </w:p>
        </w:tc>
        <w:tc>
          <w:tcPr>
            <w:tcW w:w="946" w:type="dxa"/>
            <w:noWrap w:val="0"/>
            <w:vAlign w:val="top"/>
          </w:tcPr>
          <w:p w14:paraId="598F10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16</w:t>
            </w:r>
          </w:p>
        </w:tc>
        <w:tc>
          <w:tcPr>
            <w:tcW w:w="654" w:type="dxa"/>
            <w:noWrap w:val="0"/>
            <w:vAlign w:val="top"/>
          </w:tcPr>
          <w:p w14:paraId="78DB66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0" w:type="dxa"/>
            <w:noWrap w:val="0"/>
            <w:vAlign w:val="top"/>
          </w:tcPr>
          <w:p w14:paraId="4F3709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882" w:type="dxa"/>
            <w:noWrap w:val="0"/>
            <w:vAlign w:val="top"/>
          </w:tcPr>
          <w:p w14:paraId="628E67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82" w:type="dxa"/>
            <w:noWrap w:val="0"/>
            <w:vAlign w:val="top"/>
          </w:tcPr>
          <w:p w14:paraId="4A8359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27" w:type="dxa"/>
            <w:noWrap w:val="0"/>
            <w:vAlign w:val="top"/>
          </w:tcPr>
          <w:p w14:paraId="09EB6C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top"/>
          </w:tcPr>
          <w:p w14:paraId="6241CB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top"/>
          </w:tcPr>
          <w:p w14:paraId="147607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18" w:type="dxa"/>
            <w:noWrap w:val="0"/>
            <w:vAlign w:val="top"/>
          </w:tcPr>
          <w:p w14:paraId="41C813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964" w:type="dxa"/>
            <w:noWrap w:val="0"/>
            <w:vAlign w:val="top"/>
          </w:tcPr>
          <w:p w14:paraId="11E04D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46" w:type="dxa"/>
            <w:noWrap w:val="0"/>
            <w:vAlign w:val="top"/>
          </w:tcPr>
          <w:p w14:paraId="34C070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r>
    </w:tbl>
    <w:p w14:paraId="7B0766E4">
      <w:pPr>
        <w:spacing w:after="156" w:afterLines="50"/>
        <w:ind w:firstLine="0" w:firstLineChars="0"/>
        <w:jc w:val="center"/>
        <w:rPr>
          <w:rFonts w:hint="default" w:ascii="Times New Roman" w:hAnsi="Times New Roman" w:eastAsia="仿宋" w:cs="Times New Roman"/>
          <w:b/>
          <w:color w:val="000000" w:themeColor="text1"/>
          <w:sz w:val="28"/>
          <w:szCs w:val="28"/>
          <w14:textFill>
            <w14:solidFill>
              <w14:schemeClr w14:val="tx1"/>
            </w14:solidFill>
          </w14:textFill>
        </w:rPr>
      </w:pPr>
      <w:r>
        <w:rPr>
          <w:rFonts w:hint="eastAsia" w:eastAsia="仿宋" w:cs="Times New Roman"/>
          <w:b/>
          <w:color w:val="000000" w:themeColor="text1"/>
          <w:sz w:val="28"/>
          <w:szCs w:val="28"/>
          <w:lang w:val="en-US" w:eastAsia="zh-CN"/>
          <w14:textFill>
            <w14:solidFill>
              <w14:schemeClr w14:val="tx1"/>
            </w14:solidFill>
          </w14:textFill>
        </w:rPr>
        <w:t>续</w:t>
      </w:r>
      <w:r>
        <w:rPr>
          <w:rFonts w:hint="default" w:ascii="Times New Roman" w:hAnsi="Times New Roman" w:eastAsia="仿宋" w:cs="Times New Roman"/>
          <w:b/>
          <w:color w:val="000000" w:themeColor="text1"/>
          <w:sz w:val="28"/>
          <w:szCs w:val="28"/>
          <w:lang w:val="en-US" w:eastAsia="zh-CN"/>
          <w14:textFill>
            <w14:solidFill>
              <w14:schemeClr w14:val="tx1"/>
            </w14:solidFill>
          </w14:textFill>
        </w:rPr>
        <w:t xml:space="preserve">表8.1-2 </w:t>
      </w:r>
      <w:r>
        <w:rPr>
          <w:rFonts w:hint="default" w:ascii="Times New Roman" w:hAnsi="Times New Roman" w:eastAsia="仿宋" w:cs="Times New Roman"/>
          <w:b/>
          <w:color w:val="000000" w:themeColor="text1"/>
          <w:sz w:val="28"/>
          <w:szCs w:val="28"/>
          <w14:textFill>
            <w14:solidFill>
              <w14:schemeClr w14:val="tx1"/>
            </w14:solidFill>
          </w14:textFill>
        </w:rPr>
        <w:t>质量控制情况统计表</w:t>
      </w:r>
    </w:p>
    <w:tbl>
      <w:tblPr>
        <w:tblStyle w:val="25"/>
        <w:tblW w:w="142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700"/>
        <w:gridCol w:w="946"/>
        <w:gridCol w:w="654"/>
        <w:gridCol w:w="1300"/>
        <w:gridCol w:w="882"/>
        <w:gridCol w:w="1382"/>
        <w:gridCol w:w="727"/>
        <w:gridCol w:w="1309"/>
        <w:gridCol w:w="755"/>
        <w:gridCol w:w="1418"/>
        <w:gridCol w:w="964"/>
        <w:gridCol w:w="1446"/>
      </w:tblGrid>
      <w:tr w14:paraId="42AC6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Merge w:val="restart"/>
            <w:noWrap w:val="0"/>
            <w:vAlign w:val="center"/>
          </w:tcPr>
          <w:p w14:paraId="4A56D6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样品</w:t>
            </w:r>
          </w:p>
          <w:p w14:paraId="5E95DD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color w:val="auto"/>
                <w:sz w:val="21"/>
                <w:szCs w:val="21"/>
                <w:highlight w:val="none"/>
                <w:lang w:val="en-US" w:eastAsia="zh-CN"/>
              </w:rPr>
              <w:t>类别</w:t>
            </w:r>
          </w:p>
        </w:tc>
        <w:tc>
          <w:tcPr>
            <w:tcW w:w="1700" w:type="dxa"/>
            <w:noWrap w:val="0"/>
            <w:vAlign w:val="center"/>
          </w:tcPr>
          <w:p w14:paraId="264258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受检单位</w:t>
            </w:r>
          </w:p>
        </w:tc>
        <w:tc>
          <w:tcPr>
            <w:tcW w:w="5164" w:type="dxa"/>
            <w:gridSpan w:val="5"/>
            <w:noWrap w:val="0"/>
            <w:vAlign w:val="center"/>
          </w:tcPr>
          <w:p w14:paraId="1C2352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江苏九州星际新材料有限公司</w:t>
            </w:r>
          </w:p>
        </w:tc>
        <w:tc>
          <w:tcPr>
            <w:tcW w:w="2036" w:type="dxa"/>
            <w:gridSpan w:val="2"/>
            <w:noWrap w:val="0"/>
            <w:vAlign w:val="center"/>
          </w:tcPr>
          <w:p w14:paraId="1F50E6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采样日期</w:t>
            </w:r>
          </w:p>
        </w:tc>
        <w:tc>
          <w:tcPr>
            <w:tcW w:w="4583" w:type="dxa"/>
            <w:gridSpan w:val="4"/>
            <w:noWrap w:val="0"/>
            <w:vAlign w:val="center"/>
          </w:tcPr>
          <w:p w14:paraId="700CD6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2025.</w:t>
            </w:r>
            <w:r>
              <w:rPr>
                <w:rFonts w:hint="eastAsia" w:ascii="Times New Roman" w:hAnsi="Times New Roman" w:eastAsia="仿宋" w:cs="Times New Roman"/>
                <w:b w:val="0"/>
                <w:bCs w:val="0"/>
                <w:kern w:val="80"/>
                <w:sz w:val="21"/>
                <w:szCs w:val="21"/>
                <w:lang w:val="en-US" w:eastAsia="zh-CN"/>
              </w:rPr>
              <w:t>1</w:t>
            </w:r>
            <w:r>
              <w:rPr>
                <w:rFonts w:hint="eastAsia" w:eastAsia="仿宋" w:cs="Times New Roman"/>
                <w:b w:val="0"/>
                <w:bCs w:val="0"/>
                <w:kern w:val="80"/>
                <w:sz w:val="21"/>
                <w:szCs w:val="21"/>
                <w:lang w:val="en-US" w:eastAsia="zh-CN"/>
              </w:rPr>
              <w:t>2</w:t>
            </w:r>
            <w:r>
              <w:rPr>
                <w:rFonts w:hint="eastAsia" w:ascii="Times New Roman" w:hAnsi="Times New Roman" w:eastAsia="仿宋" w:cs="Times New Roman"/>
                <w:b w:val="0"/>
                <w:bCs w:val="0"/>
                <w:kern w:val="80"/>
                <w:sz w:val="21"/>
                <w:szCs w:val="21"/>
                <w:lang w:val="en-US" w:eastAsia="zh-CN"/>
              </w:rPr>
              <w:t>.</w:t>
            </w:r>
            <w:r>
              <w:rPr>
                <w:rFonts w:hint="eastAsia" w:eastAsia="仿宋" w:cs="Times New Roman"/>
                <w:b w:val="0"/>
                <w:bCs w:val="0"/>
                <w:kern w:val="80"/>
                <w:sz w:val="21"/>
                <w:szCs w:val="21"/>
                <w:lang w:val="en-US" w:eastAsia="zh-CN"/>
              </w:rPr>
              <w:t>24</w:t>
            </w:r>
            <w:r>
              <w:rPr>
                <w:rFonts w:hint="eastAsia" w:ascii="Times New Roman" w:hAnsi="Times New Roman" w:eastAsia="仿宋" w:cs="Times New Roman"/>
                <w:b w:val="0"/>
                <w:bCs w:val="0"/>
                <w:kern w:val="80"/>
                <w:sz w:val="21"/>
                <w:szCs w:val="21"/>
                <w:lang w:val="en-US" w:eastAsia="zh-CN"/>
              </w:rPr>
              <w:t>-1</w:t>
            </w:r>
            <w:r>
              <w:rPr>
                <w:rFonts w:hint="eastAsia" w:eastAsia="仿宋" w:cs="Times New Roman"/>
                <w:b w:val="0"/>
                <w:bCs w:val="0"/>
                <w:kern w:val="80"/>
                <w:sz w:val="21"/>
                <w:szCs w:val="21"/>
                <w:lang w:val="en-US" w:eastAsia="zh-CN"/>
              </w:rPr>
              <w:t>2.25</w:t>
            </w:r>
          </w:p>
        </w:tc>
      </w:tr>
      <w:tr w14:paraId="56648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Merge w:val="continue"/>
            <w:noWrap w:val="0"/>
            <w:vAlign w:val="center"/>
          </w:tcPr>
          <w:p w14:paraId="6CF93D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p>
        </w:tc>
        <w:tc>
          <w:tcPr>
            <w:tcW w:w="1700" w:type="dxa"/>
            <w:vMerge w:val="restart"/>
            <w:noWrap w:val="0"/>
            <w:vAlign w:val="center"/>
          </w:tcPr>
          <w:p w14:paraId="38BB35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监测项目</w:t>
            </w:r>
          </w:p>
        </w:tc>
        <w:tc>
          <w:tcPr>
            <w:tcW w:w="946" w:type="dxa"/>
            <w:vMerge w:val="restart"/>
            <w:noWrap w:val="0"/>
            <w:vAlign w:val="center"/>
          </w:tcPr>
          <w:p w14:paraId="7383DF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样品数</w:t>
            </w:r>
          </w:p>
        </w:tc>
        <w:tc>
          <w:tcPr>
            <w:tcW w:w="4218" w:type="dxa"/>
            <w:gridSpan w:val="4"/>
            <w:noWrap w:val="0"/>
            <w:vAlign w:val="center"/>
          </w:tcPr>
          <w:p w14:paraId="509858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平行样</w:t>
            </w:r>
          </w:p>
        </w:tc>
        <w:tc>
          <w:tcPr>
            <w:tcW w:w="2036" w:type="dxa"/>
            <w:gridSpan w:val="2"/>
            <w:noWrap w:val="0"/>
            <w:vAlign w:val="center"/>
          </w:tcPr>
          <w:p w14:paraId="55F31F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加标回收</w:t>
            </w:r>
          </w:p>
        </w:tc>
        <w:tc>
          <w:tcPr>
            <w:tcW w:w="2173" w:type="dxa"/>
            <w:gridSpan w:val="2"/>
            <w:noWrap w:val="0"/>
            <w:vAlign w:val="center"/>
          </w:tcPr>
          <w:p w14:paraId="0A4E19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标样</w:t>
            </w:r>
          </w:p>
        </w:tc>
        <w:tc>
          <w:tcPr>
            <w:tcW w:w="2410" w:type="dxa"/>
            <w:gridSpan w:val="2"/>
            <w:noWrap w:val="0"/>
            <w:vAlign w:val="center"/>
          </w:tcPr>
          <w:p w14:paraId="3B736B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全程序空白</w:t>
            </w:r>
          </w:p>
        </w:tc>
      </w:tr>
      <w:tr w14:paraId="09BE8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Merge w:val="continue"/>
            <w:noWrap w:val="0"/>
            <w:vAlign w:val="center"/>
          </w:tcPr>
          <w:p w14:paraId="06159D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p>
        </w:tc>
        <w:tc>
          <w:tcPr>
            <w:tcW w:w="1700" w:type="dxa"/>
            <w:vMerge w:val="continue"/>
            <w:noWrap w:val="0"/>
            <w:vAlign w:val="center"/>
          </w:tcPr>
          <w:p w14:paraId="170279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p>
        </w:tc>
        <w:tc>
          <w:tcPr>
            <w:tcW w:w="946" w:type="dxa"/>
            <w:vMerge w:val="continue"/>
            <w:noWrap w:val="0"/>
            <w:vAlign w:val="center"/>
          </w:tcPr>
          <w:p w14:paraId="51AC1C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p>
        </w:tc>
        <w:tc>
          <w:tcPr>
            <w:tcW w:w="654" w:type="dxa"/>
            <w:noWrap w:val="0"/>
            <w:vAlign w:val="center"/>
          </w:tcPr>
          <w:p w14:paraId="1AA6D3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现场</w:t>
            </w:r>
          </w:p>
        </w:tc>
        <w:tc>
          <w:tcPr>
            <w:tcW w:w="1300" w:type="dxa"/>
            <w:noWrap w:val="0"/>
            <w:vAlign w:val="center"/>
          </w:tcPr>
          <w:p w14:paraId="416668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合格率（%）</w:t>
            </w:r>
          </w:p>
        </w:tc>
        <w:tc>
          <w:tcPr>
            <w:tcW w:w="882" w:type="dxa"/>
            <w:noWrap w:val="0"/>
            <w:vAlign w:val="center"/>
          </w:tcPr>
          <w:p w14:paraId="753793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实验室</w:t>
            </w:r>
          </w:p>
        </w:tc>
        <w:tc>
          <w:tcPr>
            <w:tcW w:w="1382" w:type="dxa"/>
            <w:noWrap w:val="0"/>
            <w:vAlign w:val="center"/>
          </w:tcPr>
          <w:p w14:paraId="085A5D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合格率（%）</w:t>
            </w:r>
          </w:p>
        </w:tc>
        <w:tc>
          <w:tcPr>
            <w:tcW w:w="727" w:type="dxa"/>
            <w:noWrap w:val="0"/>
            <w:vAlign w:val="center"/>
          </w:tcPr>
          <w:p w14:paraId="03DAE2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个数</w:t>
            </w:r>
          </w:p>
        </w:tc>
        <w:tc>
          <w:tcPr>
            <w:tcW w:w="1309" w:type="dxa"/>
            <w:noWrap w:val="0"/>
            <w:vAlign w:val="center"/>
          </w:tcPr>
          <w:p w14:paraId="37AAA0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合格率（%）</w:t>
            </w:r>
          </w:p>
        </w:tc>
        <w:tc>
          <w:tcPr>
            <w:tcW w:w="755" w:type="dxa"/>
            <w:noWrap w:val="0"/>
            <w:vAlign w:val="center"/>
          </w:tcPr>
          <w:p w14:paraId="6DE864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个数</w:t>
            </w:r>
          </w:p>
        </w:tc>
        <w:tc>
          <w:tcPr>
            <w:tcW w:w="1418" w:type="dxa"/>
            <w:noWrap w:val="0"/>
            <w:vAlign w:val="center"/>
          </w:tcPr>
          <w:p w14:paraId="25718C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合格率（%）</w:t>
            </w:r>
          </w:p>
        </w:tc>
        <w:tc>
          <w:tcPr>
            <w:tcW w:w="964" w:type="dxa"/>
            <w:noWrap w:val="0"/>
            <w:vAlign w:val="center"/>
          </w:tcPr>
          <w:p w14:paraId="53D7A0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个数</w:t>
            </w:r>
          </w:p>
        </w:tc>
        <w:tc>
          <w:tcPr>
            <w:tcW w:w="1446" w:type="dxa"/>
            <w:noWrap w:val="0"/>
            <w:vAlign w:val="center"/>
          </w:tcPr>
          <w:p w14:paraId="09DE5C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kern w:val="80"/>
                <w:sz w:val="21"/>
                <w:szCs w:val="21"/>
                <w:lang w:val="en-US" w:eastAsia="zh-CN"/>
              </w:rPr>
            </w:pPr>
            <w:r>
              <w:rPr>
                <w:rFonts w:hint="default" w:ascii="Times New Roman" w:hAnsi="Times New Roman" w:eastAsia="仿宋" w:cs="Times New Roman"/>
                <w:b w:val="0"/>
                <w:bCs w:val="0"/>
                <w:kern w:val="80"/>
                <w:sz w:val="21"/>
                <w:szCs w:val="21"/>
                <w:lang w:val="en-US" w:eastAsia="zh-CN"/>
              </w:rPr>
              <w:t>合格率（%）</w:t>
            </w:r>
          </w:p>
        </w:tc>
      </w:tr>
      <w:tr w14:paraId="7D213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restart"/>
            <w:noWrap w:val="0"/>
            <w:vAlign w:val="center"/>
          </w:tcPr>
          <w:p w14:paraId="410D9E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r>
              <w:rPr>
                <w:rFonts w:hint="eastAsia" w:eastAsia="仿宋" w:cs="Times New Roman"/>
                <w:color w:val="auto"/>
                <w:sz w:val="21"/>
                <w:szCs w:val="21"/>
                <w:highlight w:val="none"/>
                <w:lang w:val="en-US" w:eastAsia="zh-CN"/>
              </w:rPr>
              <w:t>有组织废气</w:t>
            </w:r>
          </w:p>
        </w:tc>
        <w:tc>
          <w:tcPr>
            <w:tcW w:w="1700" w:type="dxa"/>
            <w:noWrap w:val="0"/>
            <w:vAlign w:val="center"/>
          </w:tcPr>
          <w:p w14:paraId="14C03D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eastAsia="仿宋" w:cs="Times New Roman"/>
                <w:kern w:val="2"/>
                <w:sz w:val="21"/>
                <w:szCs w:val="21"/>
                <w:highlight w:val="none"/>
                <w:lang w:val="en-US" w:eastAsia="zh-CN" w:bidi="ar-SA"/>
              </w:rPr>
              <w:t>非甲烷总烃</w:t>
            </w:r>
          </w:p>
        </w:tc>
        <w:tc>
          <w:tcPr>
            <w:tcW w:w="946" w:type="dxa"/>
            <w:noWrap w:val="0"/>
            <w:vAlign w:val="center"/>
          </w:tcPr>
          <w:p w14:paraId="72486D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eastAsia" w:eastAsia="仿宋" w:cs="Times New Roman"/>
                <w:kern w:val="2"/>
                <w:sz w:val="21"/>
                <w:szCs w:val="24"/>
                <w:highlight w:val="none"/>
                <w:lang w:val="en-US" w:eastAsia="zh-CN" w:bidi="ar-SA"/>
              </w:rPr>
              <w:t>18</w:t>
            </w:r>
          </w:p>
        </w:tc>
        <w:tc>
          <w:tcPr>
            <w:tcW w:w="654" w:type="dxa"/>
            <w:noWrap w:val="0"/>
            <w:vAlign w:val="center"/>
          </w:tcPr>
          <w:p w14:paraId="086E46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0" w:type="dxa"/>
            <w:noWrap w:val="0"/>
            <w:vAlign w:val="center"/>
          </w:tcPr>
          <w:p w14:paraId="6F89AC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882" w:type="dxa"/>
            <w:noWrap w:val="0"/>
            <w:vAlign w:val="center"/>
          </w:tcPr>
          <w:p w14:paraId="7F730D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eastAsia" w:eastAsia="仿宋" w:cs="Times New Roman"/>
                <w:kern w:val="2"/>
                <w:sz w:val="21"/>
                <w:szCs w:val="24"/>
                <w:highlight w:val="none"/>
                <w:lang w:val="en-US" w:eastAsia="zh-CN" w:bidi="ar-SA"/>
              </w:rPr>
              <w:t>2</w:t>
            </w:r>
          </w:p>
        </w:tc>
        <w:tc>
          <w:tcPr>
            <w:tcW w:w="1382" w:type="dxa"/>
            <w:noWrap w:val="0"/>
            <w:vAlign w:val="center"/>
          </w:tcPr>
          <w:p w14:paraId="7289AF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eastAsia" w:eastAsia="仿宋" w:cs="Times New Roman"/>
                <w:kern w:val="2"/>
                <w:sz w:val="21"/>
                <w:szCs w:val="24"/>
                <w:highlight w:val="none"/>
                <w:lang w:val="en-US" w:eastAsia="zh-CN" w:bidi="ar-SA"/>
              </w:rPr>
              <w:t>100</w:t>
            </w:r>
          </w:p>
        </w:tc>
        <w:tc>
          <w:tcPr>
            <w:tcW w:w="727" w:type="dxa"/>
            <w:noWrap w:val="0"/>
            <w:vAlign w:val="center"/>
          </w:tcPr>
          <w:p w14:paraId="392448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center"/>
          </w:tcPr>
          <w:p w14:paraId="00A858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center"/>
          </w:tcPr>
          <w:p w14:paraId="245007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eastAsia" w:eastAsia="仿宋" w:cs="Times New Roman"/>
                <w:kern w:val="2"/>
                <w:sz w:val="21"/>
                <w:szCs w:val="24"/>
                <w:highlight w:val="none"/>
                <w:lang w:val="en-US" w:eastAsia="zh-CN" w:bidi="ar-SA"/>
              </w:rPr>
              <w:t>4</w:t>
            </w:r>
          </w:p>
        </w:tc>
        <w:tc>
          <w:tcPr>
            <w:tcW w:w="1418" w:type="dxa"/>
            <w:noWrap w:val="0"/>
            <w:vAlign w:val="center"/>
          </w:tcPr>
          <w:p w14:paraId="6C1552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eastAsia" w:eastAsia="仿宋" w:cs="Times New Roman"/>
                <w:kern w:val="2"/>
                <w:sz w:val="21"/>
                <w:szCs w:val="24"/>
                <w:highlight w:val="none"/>
                <w:lang w:val="en-US" w:eastAsia="zh-CN" w:bidi="ar-SA"/>
              </w:rPr>
              <w:t>100</w:t>
            </w:r>
          </w:p>
        </w:tc>
        <w:tc>
          <w:tcPr>
            <w:tcW w:w="964" w:type="dxa"/>
            <w:noWrap w:val="0"/>
            <w:vAlign w:val="center"/>
          </w:tcPr>
          <w:p w14:paraId="68E8D1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eastAsia" w:eastAsia="仿宋" w:cs="Times New Roman"/>
                <w:kern w:val="2"/>
                <w:sz w:val="21"/>
                <w:szCs w:val="24"/>
                <w:highlight w:val="none"/>
                <w:lang w:val="en-US" w:eastAsia="zh-CN" w:bidi="ar-SA"/>
              </w:rPr>
              <w:t>2</w:t>
            </w:r>
          </w:p>
        </w:tc>
        <w:tc>
          <w:tcPr>
            <w:tcW w:w="1446" w:type="dxa"/>
            <w:noWrap w:val="0"/>
            <w:vAlign w:val="center"/>
          </w:tcPr>
          <w:p w14:paraId="11A1C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eastAsia" w:eastAsia="仿宋" w:cs="Times New Roman"/>
                <w:kern w:val="2"/>
                <w:sz w:val="21"/>
                <w:szCs w:val="24"/>
                <w:highlight w:val="none"/>
                <w:lang w:val="en-US" w:eastAsia="zh-CN" w:bidi="ar-SA"/>
              </w:rPr>
              <w:t>100</w:t>
            </w:r>
          </w:p>
        </w:tc>
      </w:tr>
      <w:tr w14:paraId="336BF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continue"/>
            <w:noWrap w:val="0"/>
            <w:vAlign w:val="center"/>
          </w:tcPr>
          <w:p w14:paraId="6ACE43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p>
        </w:tc>
        <w:tc>
          <w:tcPr>
            <w:tcW w:w="1700" w:type="dxa"/>
            <w:noWrap w:val="0"/>
            <w:vAlign w:val="center"/>
          </w:tcPr>
          <w:p w14:paraId="704C3D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eastAsia="仿宋" w:cs="Times New Roman"/>
                <w:kern w:val="2"/>
                <w:sz w:val="21"/>
                <w:szCs w:val="21"/>
                <w:highlight w:val="none"/>
                <w:lang w:val="en-US" w:eastAsia="zh-CN" w:bidi="ar-SA"/>
              </w:rPr>
              <w:t>恶臭</w:t>
            </w:r>
          </w:p>
        </w:tc>
        <w:tc>
          <w:tcPr>
            <w:tcW w:w="946" w:type="dxa"/>
            <w:noWrap w:val="0"/>
            <w:vAlign w:val="center"/>
          </w:tcPr>
          <w:p w14:paraId="76ED8F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eastAsia" w:eastAsia="仿宋" w:cs="Times New Roman"/>
                <w:kern w:val="2"/>
                <w:sz w:val="21"/>
                <w:szCs w:val="24"/>
                <w:highlight w:val="none"/>
                <w:lang w:val="en-US" w:eastAsia="zh-CN" w:bidi="ar-SA"/>
              </w:rPr>
              <w:t>6</w:t>
            </w:r>
          </w:p>
        </w:tc>
        <w:tc>
          <w:tcPr>
            <w:tcW w:w="654" w:type="dxa"/>
            <w:noWrap w:val="0"/>
            <w:vAlign w:val="center"/>
          </w:tcPr>
          <w:p w14:paraId="19243D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0" w:type="dxa"/>
            <w:noWrap w:val="0"/>
            <w:vAlign w:val="center"/>
          </w:tcPr>
          <w:p w14:paraId="371BE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882" w:type="dxa"/>
            <w:noWrap w:val="0"/>
            <w:vAlign w:val="center"/>
          </w:tcPr>
          <w:p w14:paraId="7D65CF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82" w:type="dxa"/>
            <w:noWrap w:val="0"/>
            <w:vAlign w:val="center"/>
          </w:tcPr>
          <w:p w14:paraId="55C1C1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27" w:type="dxa"/>
            <w:noWrap w:val="0"/>
            <w:vAlign w:val="center"/>
          </w:tcPr>
          <w:p w14:paraId="1A36B9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center"/>
          </w:tcPr>
          <w:p w14:paraId="6F6951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center"/>
          </w:tcPr>
          <w:p w14:paraId="59D11C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18" w:type="dxa"/>
            <w:noWrap w:val="0"/>
            <w:vAlign w:val="center"/>
          </w:tcPr>
          <w:p w14:paraId="59F63E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964" w:type="dxa"/>
            <w:noWrap w:val="0"/>
            <w:vAlign w:val="center"/>
          </w:tcPr>
          <w:p w14:paraId="6562F1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46" w:type="dxa"/>
            <w:noWrap w:val="0"/>
            <w:vAlign w:val="center"/>
          </w:tcPr>
          <w:p w14:paraId="3E62F4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r>
      <w:tr w14:paraId="01A62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continue"/>
            <w:noWrap w:val="0"/>
            <w:vAlign w:val="center"/>
          </w:tcPr>
          <w:p w14:paraId="36ECD3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p>
        </w:tc>
        <w:tc>
          <w:tcPr>
            <w:tcW w:w="1700" w:type="dxa"/>
            <w:noWrap w:val="0"/>
            <w:vAlign w:val="center"/>
          </w:tcPr>
          <w:p w14:paraId="5404D2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eastAsia="仿宋" w:cs="Times New Roman"/>
                <w:kern w:val="2"/>
                <w:sz w:val="21"/>
                <w:szCs w:val="21"/>
                <w:highlight w:val="none"/>
                <w:lang w:val="en-US" w:eastAsia="zh-CN" w:bidi="ar-SA"/>
              </w:rPr>
              <w:t>*</w:t>
            </w:r>
          </w:p>
        </w:tc>
        <w:tc>
          <w:tcPr>
            <w:tcW w:w="946" w:type="dxa"/>
            <w:noWrap w:val="0"/>
            <w:vAlign w:val="center"/>
          </w:tcPr>
          <w:p w14:paraId="326BEB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eastAsia" w:eastAsia="仿宋" w:cs="Times New Roman"/>
                <w:kern w:val="2"/>
                <w:sz w:val="21"/>
                <w:szCs w:val="24"/>
                <w:highlight w:val="none"/>
                <w:lang w:val="en-US" w:eastAsia="zh-CN" w:bidi="ar-SA"/>
              </w:rPr>
              <w:t>18</w:t>
            </w:r>
          </w:p>
        </w:tc>
        <w:tc>
          <w:tcPr>
            <w:tcW w:w="654" w:type="dxa"/>
            <w:noWrap w:val="0"/>
            <w:vAlign w:val="center"/>
          </w:tcPr>
          <w:p w14:paraId="5DD2F5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0" w:type="dxa"/>
            <w:noWrap w:val="0"/>
            <w:vAlign w:val="center"/>
          </w:tcPr>
          <w:p w14:paraId="0EAC60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882" w:type="dxa"/>
            <w:noWrap w:val="0"/>
            <w:vAlign w:val="center"/>
          </w:tcPr>
          <w:p w14:paraId="5FFAD1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82" w:type="dxa"/>
            <w:noWrap w:val="0"/>
            <w:vAlign w:val="center"/>
          </w:tcPr>
          <w:p w14:paraId="54607B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27" w:type="dxa"/>
            <w:noWrap w:val="0"/>
            <w:vAlign w:val="center"/>
          </w:tcPr>
          <w:p w14:paraId="4B145C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center"/>
          </w:tcPr>
          <w:p w14:paraId="77FE3E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center"/>
          </w:tcPr>
          <w:p w14:paraId="54D21C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18" w:type="dxa"/>
            <w:noWrap w:val="0"/>
            <w:vAlign w:val="center"/>
          </w:tcPr>
          <w:p w14:paraId="70674A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964" w:type="dxa"/>
            <w:noWrap w:val="0"/>
            <w:vAlign w:val="center"/>
          </w:tcPr>
          <w:p w14:paraId="66D147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eastAsia" w:eastAsia="仿宋" w:cs="Times New Roman"/>
                <w:kern w:val="2"/>
                <w:sz w:val="21"/>
                <w:szCs w:val="24"/>
                <w:highlight w:val="none"/>
                <w:lang w:val="en-US" w:eastAsia="zh-CN" w:bidi="ar-SA"/>
              </w:rPr>
              <w:t>2</w:t>
            </w:r>
          </w:p>
        </w:tc>
        <w:tc>
          <w:tcPr>
            <w:tcW w:w="1446" w:type="dxa"/>
            <w:noWrap w:val="0"/>
            <w:vAlign w:val="center"/>
          </w:tcPr>
          <w:p w14:paraId="25BFE0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eastAsia" w:eastAsia="仿宋" w:cs="Times New Roman"/>
                <w:kern w:val="2"/>
                <w:sz w:val="21"/>
                <w:szCs w:val="24"/>
                <w:highlight w:val="none"/>
                <w:lang w:val="en-US" w:eastAsia="zh-CN" w:bidi="ar-SA"/>
              </w:rPr>
              <w:t>100</w:t>
            </w:r>
          </w:p>
        </w:tc>
      </w:tr>
      <w:tr w14:paraId="6B267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01" w:type="dxa"/>
            <w:vMerge w:val="continue"/>
            <w:noWrap w:val="0"/>
            <w:vAlign w:val="center"/>
          </w:tcPr>
          <w:p w14:paraId="1126A3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highlight w:val="none"/>
                <w:lang w:val="en-US" w:eastAsia="zh-CN"/>
              </w:rPr>
            </w:pPr>
          </w:p>
        </w:tc>
        <w:tc>
          <w:tcPr>
            <w:tcW w:w="1700" w:type="dxa"/>
            <w:noWrap w:val="0"/>
            <w:vAlign w:val="center"/>
          </w:tcPr>
          <w:p w14:paraId="6825D1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1"/>
                <w:highlight w:val="none"/>
                <w:lang w:val="en-US" w:eastAsia="zh-CN" w:bidi="ar-SA"/>
              </w:rPr>
            </w:pPr>
            <w:r>
              <w:rPr>
                <w:rFonts w:hint="eastAsia" w:eastAsia="仿宋" w:cs="Times New Roman"/>
                <w:kern w:val="2"/>
                <w:sz w:val="21"/>
                <w:szCs w:val="21"/>
                <w:highlight w:val="none"/>
                <w:lang w:val="en-US" w:eastAsia="zh-CN" w:bidi="ar-SA"/>
              </w:rPr>
              <w:t>油雾</w:t>
            </w:r>
          </w:p>
        </w:tc>
        <w:tc>
          <w:tcPr>
            <w:tcW w:w="946" w:type="dxa"/>
            <w:noWrap w:val="0"/>
            <w:vAlign w:val="center"/>
          </w:tcPr>
          <w:p w14:paraId="0E51DB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eastAsia" w:eastAsia="仿宋" w:cs="Times New Roman"/>
                <w:kern w:val="2"/>
                <w:sz w:val="21"/>
                <w:szCs w:val="24"/>
                <w:highlight w:val="none"/>
                <w:lang w:val="en-US" w:eastAsia="zh-CN" w:bidi="ar-SA"/>
              </w:rPr>
              <w:t>18</w:t>
            </w:r>
          </w:p>
        </w:tc>
        <w:tc>
          <w:tcPr>
            <w:tcW w:w="654" w:type="dxa"/>
            <w:noWrap w:val="0"/>
            <w:vAlign w:val="center"/>
          </w:tcPr>
          <w:p w14:paraId="6ED8C0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0" w:type="dxa"/>
            <w:noWrap w:val="0"/>
            <w:vAlign w:val="center"/>
          </w:tcPr>
          <w:p w14:paraId="752903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882" w:type="dxa"/>
            <w:noWrap w:val="0"/>
            <w:vAlign w:val="center"/>
          </w:tcPr>
          <w:p w14:paraId="6769B7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82" w:type="dxa"/>
            <w:noWrap w:val="0"/>
            <w:vAlign w:val="center"/>
          </w:tcPr>
          <w:p w14:paraId="7A8FCF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27" w:type="dxa"/>
            <w:noWrap w:val="0"/>
            <w:vAlign w:val="center"/>
          </w:tcPr>
          <w:p w14:paraId="4290D7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309" w:type="dxa"/>
            <w:noWrap w:val="0"/>
            <w:vAlign w:val="center"/>
          </w:tcPr>
          <w:p w14:paraId="1E1160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755" w:type="dxa"/>
            <w:noWrap w:val="0"/>
            <w:vAlign w:val="center"/>
          </w:tcPr>
          <w:p w14:paraId="69F7B4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18" w:type="dxa"/>
            <w:noWrap w:val="0"/>
            <w:vAlign w:val="center"/>
          </w:tcPr>
          <w:p w14:paraId="1AB7CA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964" w:type="dxa"/>
            <w:noWrap w:val="0"/>
            <w:vAlign w:val="center"/>
          </w:tcPr>
          <w:p w14:paraId="562812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c>
          <w:tcPr>
            <w:tcW w:w="1446" w:type="dxa"/>
            <w:noWrap w:val="0"/>
            <w:vAlign w:val="center"/>
          </w:tcPr>
          <w:p w14:paraId="3084FA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kern w:val="2"/>
                <w:sz w:val="21"/>
                <w:szCs w:val="24"/>
                <w:highlight w:val="none"/>
                <w:lang w:val="en-US" w:eastAsia="zh-CN" w:bidi="ar-SA"/>
              </w:rPr>
            </w:pPr>
            <w:r>
              <w:rPr>
                <w:rFonts w:hint="default" w:ascii="Times New Roman" w:hAnsi="Times New Roman" w:eastAsia="仿宋" w:cs="Times New Roman"/>
                <w:kern w:val="2"/>
                <w:sz w:val="21"/>
                <w:szCs w:val="24"/>
                <w:highlight w:val="none"/>
                <w:lang w:val="en-US" w:eastAsia="zh-CN" w:bidi="ar-SA"/>
              </w:rPr>
              <w:t>—</w:t>
            </w:r>
          </w:p>
        </w:tc>
      </w:tr>
    </w:tbl>
    <w:p w14:paraId="771BA89C">
      <w:pPr>
        <w:pStyle w:val="10"/>
        <w:snapToGrid w:val="0"/>
        <w:spacing w:line="240" w:lineRule="auto"/>
        <w:ind w:firstLine="199" w:firstLineChars="83"/>
        <w:rPr>
          <w:rFonts w:hint="default" w:ascii="Times New Roman" w:hAnsi="Times New Roman" w:cs="Times New Roman"/>
        </w:rPr>
        <w:sectPr>
          <w:pgSz w:w="16838" w:h="11906" w:orient="landscape"/>
          <w:pgMar w:top="1800" w:right="1440" w:bottom="1800" w:left="1440" w:header="851" w:footer="992" w:gutter="0"/>
          <w:cols w:space="425" w:num="1"/>
          <w:docGrid w:type="lines" w:linePitch="381" w:charSpace="0"/>
        </w:sectPr>
      </w:pPr>
    </w:p>
    <w:p w14:paraId="465816B9">
      <w:pPr>
        <w:pStyle w:val="2"/>
        <w:spacing w:before="381" w:after="381"/>
        <w:rPr>
          <w:rFonts w:hint="default" w:ascii="Times New Roman" w:hAnsi="Times New Roman" w:cs="Times New Roman"/>
          <w:color w:val="000000"/>
        </w:rPr>
      </w:pPr>
      <w:bookmarkStart w:id="113" w:name="_Toc12832"/>
      <w:bookmarkStart w:id="114" w:name="_Toc5204549"/>
      <w:bookmarkStart w:id="115" w:name="_Toc520410271"/>
      <w:r>
        <w:rPr>
          <w:rFonts w:hint="default" w:ascii="Times New Roman" w:hAnsi="Times New Roman" w:cs="Times New Roman"/>
          <w:color w:val="000000"/>
        </w:rPr>
        <w:t>9验收监测结果</w:t>
      </w:r>
      <w:bookmarkEnd w:id="113"/>
      <w:bookmarkEnd w:id="114"/>
      <w:bookmarkEnd w:id="115"/>
    </w:p>
    <w:p w14:paraId="41D53E08">
      <w:pPr>
        <w:pStyle w:val="3"/>
        <w:spacing w:before="120" w:after="0"/>
        <w:ind w:firstLine="0" w:firstLineChars="0"/>
        <w:rPr>
          <w:rFonts w:hint="default" w:ascii="Times New Roman" w:hAnsi="Times New Roman" w:cs="Times New Roman"/>
          <w:color w:val="000000"/>
        </w:rPr>
      </w:pPr>
      <w:bookmarkStart w:id="116" w:name="_Toc520410272"/>
      <w:bookmarkStart w:id="117" w:name="_Toc11799"/>
      <w:bookmarkStart w:id="118" w:name="_Toc5204550"/>
      <w:r>
        <w:rPr>
          <w:rFonts w:hint="default" w:ascii="Times New Roman" w:hAnsi="Times New Roman" w:cs="Times New Roman"/>
          <w:color w:val="000000"/>
        </w:rPr>
        <w:t>9.1 生产工况</w:t>
      </w:r>
      <w:bookmarkEnd w:id="116"/>
      <w:bookmarkEnd w:id="117"/>
      <w:bookmarkEnd w:id="118"/>
    </w:p>
    <w:p w14:paraId="3E41E224">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202</w:t>
      </w:r>
      <w:r>
        <w:rPr>
          <w:rFonts w:hint="default" w:ascii="Times New Roman" w:hAnsi="Times New Roman" w:eastAsia="仿宋" w:cs="Times New Roman"/>
          <w:color w:val="000000"/>
          <w:lang w:val="en-US" w:eastAsia="zh-CN"/>
        </w:rPr>
        <w:t>5</w:t>
      </w:r>
      <w:r>
        <w:rPr>
          <w:rFonts w:hint="default" w:ascii="Times New Roman" w:hAnsi="Times New Roman" w:eastAsia="仿宋" w:cs="Times New Roman"/>
          <w:color w:val="000000"/>
        </w:rPr>
        <w:t>年</w:t>
      </w:r>
      <w:r>
        <w:rPr>
          <w:rFonts w:hint="default" w:ascii="Times New Roman" w:hAnsi="Times New Roman" w:eastAsia="仿宋" w:cs="Times New Roman"/>
          <w:color w:val="000000"/>
          <w:lang w:val="en-US" w:eastAsia="zh-CN"/>
        </w:rPr>
        <w:t>9</w:t>
      </w:r>
      <w:r>
        <w:rPr>
          <w:rFonts w:hint="default" w:ascii="Times New Roman" w:hAnsi="Times New Roman" w:eastAsia="仿宋" w:cs="Times New Roman"/>
          <w:color w:val="000000"/>
        </w:rPr>
        <w:t>月</w:t>
      </w:r>
      <w:r>
        <w:rPr>
          <w:rFonts w:hint="default" w:ascii="Times New Roman" w:hAnsi="Times New Roman" w:eastAsia="仿宋" w:cs="Times New Roman"/>
          <w:color w:val="000000"/>
          <w:lang w:val="en-US" w:eastAsia="zh-CN"/>
        </w:rPr>
        <w:t>2</w:t>
      </w:r>
      <w:r>
        <w:rPr>
          <w:rFonts w:hint="default" w:ascii="Times New Roman" w:hAnsi="Times New Roman" w:eastAsia="仿宋" w:cs="Times New Roman"/>
          <w:color w:val="000000"/>
        </w:rPr>
        <w:t>8日-</w:t>
      </w:r>
      <w:r>
        <w:rPr>
          <w:rFonts w:hint="default" w:ascii="Times New Roman" w:hAnsi="Times New Roman" w:eastAsia="仿宋" w:cs="Times New Roman"/>
          <w:color w:val="000000"/>
          <w:lang w:val="en-US" w:eastAsia="zh-CN"/>
        </w:rPr>
        <w:t>9</w:t>
      </w:r>
      <w:r>
        <w:rPr>
          <w:rFonts w:hint="default" w:ascii="Times New Roman" w:hAnsi="Times New Roman" w:eastAsia="仿宋" w:cs="Times New Roman"/>
          <w:color w:val="000000"/>
        </w:rPr>
        <w:t>月</w:t>
      </w:r>
      <w:r>
        <w:rPr>
          <w:rFonts w:hint="default" w:ascii="Times New Roman" w:hAnsi="Times New Roman" w:eastAsia="仿宋" w:cs="Times New Roman"/>
          <w:color w:val="000000"/>
          <w:lang w:val="en-US" w:eastAsia="zh-CN"/>
        </w:rPr>
        <w:t>2</w:t>
      </w:r>
      <w:r>
        <w:rPr>
          <w:rFonts w:hint="default" w:ascii="Times New Roman" w:hAnsi="Times New Roman" w:eastAsia="仿宋" w:cs="Times New Roman"/>
          <w:color w:val="000000"/>
        </w:rPr>
        <w:t>9日</w:t>
      </w:r>
      <w:r>
        <w:rPr>
          <w:rFonts w:hint="eastAsia" w:eastAsia="仿宋" w:cs="Times New Roman"/>
          <w:color w:val="000000"/>
          <w:lang w:eastAsia="zh-CN"/>
        </w:rPr>
        <w:t>、</w:t>
      </w:r>
      <w:r>
        <w:rPr>
          <w:rFonts w:hint="default" w:ascii="Times New Roman" w:hAnsi="Times New Roman" w:eastAsia="仿宋" w:cs="Times New Roman"/>
          <w:color w:val="000000"/>
        </w:rPr>
        <w:t>202</w:t>
      </w:r>
      <w:r>
        <w:rPr>
          <w:rFonts w:hint="default" w:ascii="Times New Roman" w:hAnsi="Times New Roman" w:eastAsia="仿宋" w:cs="Times New Roman"/>
          <w:color w:val="000000"/>
          <w:lang w:val="en-US" w:eastAsia="zh-CN"/>
        </w:rPr>
        <w:t>5</w:t>
      </w:r>
      <w:r>
        <w:rPr>
          <w:rFonts w:hint="default" w:ascii="Times New Roman" w:hAnsi="Times New Roman" w:eastAsia="仿宋" w:cs="Times New Roman"/>
          <w:color w:val="000000"/>
        </w:rPr>
        <w:t>年</w:t>
      </w:r>
      <w:r>
        <w:rPr>
          <w:rFonts w:hint="default" w:ascii="Times New Roman" w:hAnsi="Times New Roman" w:eastAsia="仿宋" w:cs="Times New Roman"/>
          <w:color w:val="000000"/>
          <w:lang w:val="en-US" w:eastAsia="zh-CN"/>
        </w:rPr>
        <w:t>10</w:t>
      </w:r>
      <w:r>
        <w:rPr>
          <w:rFonts w:hint="default" w:ascii="Times New Roman" w:hAnsi="Times New Roman" w:eastAsia="仿宋" w:cs="Times New Roman"/>
          <w:color w:val="000000"/>
        </w:rPr>
        <w:t>月</w:t>
      </w:r>
      <w:r>
        <w:rPr>
          <w:rFonts w:hint="default" w:ascii="Times New Roman" w:hAnsi="Times New Roman" w:eastAsia="仿宋" w:cs="Times New Roman"/>
          <w:color w:val="000000"/>
          <w:lang w:val="en-US" w:eastAsia="zh-CN"/>
        </w:rPr>
        <w:t>17</w:t>
      </w:r>
      <w:r>
        <w:rPr>
          <w:rFonts w:hint="default" w:ascii="Times New Roman" w:hAnsi="Times New Roman" w:eastAsia="仿宋" w:cs="Times New Roman"/>
          <w:color w:val="000000"/>
        </w:rPr>
        <w:t>日-</w:t>
      </w:r>
      <w:r>
        <w:rPr>
          <w:rFonts w:hint="default" w:ascii="Times New Roman" w:hAnsi="Times New Roman" w:eastAsia="仿宋" w:cs="Times New Roman"/>
          <w:color w:val="000000"/>
          <w:lang w:val="en-US" w:eastAsia="zh-CN"/>
        </w:rPr>
        <w:t>10</w:t>
      </w:r>
      <w:r>
        <w:rPr>
          <w:rFonts w:hint="default" w:ascii="Times New Roman" w:hAnsi="Times New Roman" w:eastAsia="仿宋" w:cs="Times New Roman"/>
          <w:color w:val="000000"/>
        </w:rPr>
        <w:t>月</w:t>
      </w:r>
      <w:r>
        <w:rPr>
          <w:rFonts w:hint="default" w:ascii="Times New Roman" w:hAnsi="Times New Roman" w:eastAsia="仿宋" w:cs="Times New Roman"/>
          <w:color w:val="000000"/>
          <w:lang w:val="en-US" w:eastAsia="zh-CN"/>
        </w:rPr>
        <w:t>18</w:t>
      </w:r>
      <w:r>
        <w:rPr>
          <w:rFonts w:hint="default" w:ascii="Times New Roman" w:hAnsi="Times New Roman" w:eastAsia="仿宋" w:cs="Times New Roman"/>
          <w:color w:val="000000"/>
        </w:rPr>
        <w:t>日</w:t>
      </w:r>
      <w:r>
        <w:rPr>
          <w:rFonts w:hint="eastAsia" w:eastAsia="仿宋" w:cs="Times New Roman"/>
          <w:color w:val="000000"/>
          <w:lang w:val="en-US" w:eastAsia="zh-CN"/>
        </w:rPr>
        <w:t>及</w:t>
      </w:r>
      <w:r>
        <w:rPr>
          <w:rFonts w:hint="default" w:ascii="Times New Roman" w:hAnsi="Times New Roman" w:eastAsia="仿宋" w:cs="Times New Roman"/>
          <w:color w:val="000000"/>
        </w:rPr>
        <w:t>202</w:t>
      </w:r>
      <w:r>
        <w:rPr>
          <w:rFonts w:hint="default" w:ascii="Times New Roman" w:hAnsi="Times New Roman" w:eastAsia="仿宋" w:cs="Times New Roman"/>
          <w:color w:val="000000"/>
          <w:lang w:val="en-US" w:eastAsia="zh-CN"/>
        </w:rPr>
        <w:t>5</w:t>
      </w:r>
      <w:r>
        <w:rPr>
          <w:rFonts w:hint="default" w:ascii="Times New Roman" w:hAnsi="Times New Roman" w:eastAsia="仿宋" w:cs="Times New Roman"/>
          <w:color w:val="000000"/>
        </w:rPr>
        <w:t>年</w:t>
      </w:r>
      <w:r>
        <w:rPr>
          <w:rFonts w:hint="default" w:ascii="Times New Roman" w:hAnsi="Times New Roman" w:eastAsia="仿宋" w:cs="Times New Roman"/>
          <w:color w:val="000000"/>
          <w:lang w:val="en-US" w:eastAsia="zh-CN"/>
        </w:rPr>
        <w:t>1</w:t>
      </w:r>
      <w:r>
        <w:rPr>
          <w:rFonts w:hint="eastAsia" w:eastAsia="仿宋" w:cs="Times New Roman"/>
          <w:color w:val="000000"/>
          <w:lang w:val="en-US" w:eastAsia="zh-CN"/>
        </w:rPr>
        <w:t>2</w:t>
      </w:r>
      <w:r>
        <w:rPr>
          <w:rFonts w:hint="default" w:ascii="Times New Roman" w:hAnsi="Times New Roman" w:eastAsia="仿宋" w:cs="Times New Roman"/>
          <w:color w:val="000000"/>
        </w:rPr>
        <w:t>月</w:t>
      </w:r>
      <w:r>
        <w:rPr>
          <w:rFonts w:hint="eastAsia" w:eastAsia="仿宋" w:cs="Times New Roman"/>
          <w:color w:val="000000"/>
          <w:lang w:val="en-US" w:eastAsia="zh-CN"/>
        </w:rPr>
        <w:t>24</w:t>
      </w:r>
      <w:r>
        <w:rPr>
          <w:rFonts w:hint="default" w:ascii="Times New Roman" w:hAnsi="Times New Roman" w:eastAsia="仿宋" w:cs="Times New Roman"/>
          <w:color w:val="000000"/>
        </w:rPr>
        <w:t>日-</w:t>
      </w:r>
      <w:r>
        <w:rPr>
          <w:rFonts w:hint="default" w:ascii="Times New Roman" w:hAnsi="Times New Roman" w:eastAsia="仿宋" w:cs="Times New Roman"/>
          <w:color w:val="000000"/>
          <w:lang w:val="en-US" w:eastAsia="zh-CN"/>
        </w:rPr>
        <w:t>1</w:t>
      </w:r>
      <w:r>
        <w:rPr>
          <w:rFonts w:hint="eastAsia" w:eastAsia="仿宋" w:cs="Times New Roman"/>
          <w:color w:val="000000"/>
          <w:lang w:val="en-US" w:eastAsia="zh-CN"/>
        </w:rPr>
        <w:t>2</w:t>
      </w:r>
      <w:r>
        <w:rPr>
          <w:rFonts w:hint="default" w:ascii="Times New Roman" w:hAnsi="Times New Roman" w:eastAsia="仿宋" w:cs="Times New Roman"/>
          <w:color w:val="000000"/>
        </w:rPr>
        <w:t>月</w:t>
      </w:r>
      <w:r>
        <w:rPr>
          <w:rFonts w:hint="eastAsia" w:eastAsia="仿宋" w:cs="Times New Roman"/>
          <w:color w:val="000000"/>
          <w:lang w:val="en-US" w:eastAsia="zh-CN"/>
        </w:rPr>
        <w:t>25</w:t>
      </w:r>
      <w:r>
        <w:rPr>
          <w:rFonts w:hint="default" w:ascii="Times New Roman" w:hAnsi="Times New Roman" w:eastAsia="仿宋" w:cs="Times New Roman"/>
          <w:color w:val="000000"/>
        </w:rPr>
        <w:t>日，江苏裕和检测技术有限</w:t>
      </w:r>
      <w:r>
        <w:rPr>
          <w:rFonts w:hint="default" w:ascii="Times New Roman" w:hAnsi="Times New Roman" w:eastAsia="仿宋" w:cs="Times New Roman"/>
          <w:color w:val="000000"/>
          <w:highlight w:val="none"/>
        </w:rPr>
        <w:t>公司对本项目开展了验收监测，验收监测期间本项目正常生产，主要产品超高分子量聚乙烯纤维的生产负荷在</w:t>
      </w:r>
      <w:bookmarkStart w:id="119" w:name="_Hlk520383562"/>
      <w:r>
        <w:rPr>
          <w:rFonts w:hint="default" w:ascii="Times New Roman" w:hAnsi="Times New Roman" w:eastAsia="仿宋" w:cs="Times New Roman"/>
          <w:color w:val="000000"/>
          <w:highlight w:val="none"/>
          <w:lang w:val="en-US" w:eastAsia="zh-CN"/>
        </w:rPr>
        <w:t>85.2</w:t>
      </w:r>
      <w:r>
        <w:rPr>
          <w:rFonts w:hint="default" w:ascii="Times New Roman" w:hAnsi="Times New Roman" w:eastAsia="仿宋" w:cs="Times New Roman"/>
          <w:color w:val="000000"/>
          <w:highlight w:val="none"/>
        </w:rPr>
        <w:t>%-8</w:t>
      </w:r>
      <w:r>
        <w:rPr>
          <w:rFonts w:hint="default" w:ascii="Times New Roman" w:hAnsi="Times New Roman" w:eastAsia="仿宋" w:cs="Times New Roman"/>
          <w:color w:val="000000"/>
          <w:highlight w:val="none"/>
          <w:lang w:val="en-US" w:eastAsia="zh-CN"/>
        </w:rPr>
        <w:t>8.1</w:t>
      </w:r>
      <w:r>
        <w:rPr>
          <w:rFonts w:hint="default" w:ascii="Times New Roman" w:hAnsi="Times New Roman" w:eastAsia="仿宋" w:cs="Times New Roman"/>
          <w:color w:val="000000"/>
          <w:highlight w:val="none"/>
        </w:rPr>
        <w:t>%</w:t>
      </w:r>
      <w:bookmarkEnd w:id="119"/>
      <w:r>
        <w:rPr>
          <w:rFonts w:hint="default" w:ascii="Times New Roman" w:hAnsi="Times New Roman" w:eastAsia="仿宋" w:cs="Times New Roman"/>
          <w:color w:val="000000"/>
          <w:highlight w:val="none"/>
        </w:rPr>
        <w:t>之间，满足生产负荷达到75%以上的验收监测条件</w:t>
      </w:r>
      <w:r>
        <w:rPr>
          <w:rFonts w:hint="default" w:ascii="Times New Roman" w:hAnsi="Times New Roman" w:eastAsia="仿宋" w:cs="Times New Roman"/>
          <w:color w:val="000000"/>
        </w:rPr>
        <w:t>。</w:t>
      </w:r>
    </w:p>
    <w:p w14:paraId="3AE92E0F">
      <w:pPr>
        <w:spacing w:line="480" w:lineRule="exact"/>
        <w:ind w:firstLine="560"/>
        <w:rPr>
          <w:rFonts w:hint="default" w:ascii="Times New Roman" w:hAnsi="Times New Roman" w:eastAsia="仿宋" w:cs="Times New Roman"/>
          <w:color w:val="000000"/>
          <w:highlight w:val="none"/>
        </w:rPr>
      </w:pPr>
      <w:r>
        <w:rPr>
          <w:rFonts w:hint="default" w:ascii="Times New Roman" w:hAnsi="Times New Roman" w:eastAsia="仿宋" w:cs="Times New Roman"/>
          <w:color w:val="000000"/>
          <w:highlight w:val="none"/>
        </w:rPr>
        <w:t>监测期间，本项目生产负荷详见表9.1-1，主要原辅材料用量见表9.1-</w:t>
      </w:r>
      <w:r>
        <w:rPr>
          <w:rFonts w:hint="default" w:ascii="Times New Roman" w:hAnsi="Times New Roman" w:eastAsia="仿宋" w:cs="Times New Roman"/>
          <w:color w:val="000000"/>
          <w:highlight w:val="none"/>
          <w:lang w:val="en-US" w:eastAsia="zh-CN"/>
        </w:rPr>
        <w:t>2</w:t>
      </w:r>
      <w:r>
        <w:rPr>
          <w:rFonts w:hint="default" w:ascii="Times New Roman" w:hAnsi="Times New Roman" w:eastAsia="仿宋" w:cs="Times New Roman"/>
          <w:color w:val="000000"/>
          <w:highlight w:val="none"/>
        </w:rPr>
        <w:t>。</w:t>
      </w:r>
    </w:p>
    <w:p w14:paraId="16BBA57A">
      <w:pPr>
        <w:spacing w:line="480" w:lineRule="exact"/>
        <w:ind w:firstLine="560"/>
        <w:rPr>
          <w:rFonts w:hint="default" w:ascii="Times New Roman" w:hAnsi="Times New Roman" w:eastAsia="仿宋" w:cs="Times New Roman"/>
          <w:color w:val="000000"/>
          <w:highlight w:val="none"/>
        </w:rPr>
      </w:pPr>
      <w:r>
        <w:rPr>
          <w:rFonts w:hint="default" w:ascii="Times New Roman" w:hAnsi="Times New Roman" w:eastAsia="仿宋" w:cs="Times New Roman"/>
          <w:color w:val="000000"/>
          <w:highlight w:val="none"/>
        </w:rPr>
        <w:t>涉密删除。</w:t>
      </w:r>
    </w:p>
    <w:p w14:paraId="6C340379">
      <w:pPr>
        <w:pStyle w:val="3"/>
        <w:spacing w:before="120" w:after="0"/>
        <w:ind w:firstLine="0" w:firstLineChars="0"/>
        <w:rPr>
          <w:rFonts w:hint="default" w:ascii="Times New Roman" w:hAnsi="Times New Roman" w:cs="Times New Roman"/>
          <w:color w:val="000000"/>
        </w:rPr>
      </w:pPr>
      <w:bookmarkStart w:id="120" w:name="_Toc5204551"/>
      <w:bookmarkStart w:id="121" w:name="_Toc520410273"/>
      <w:bookmarkStart w:id="122" w:name="_Toc5291"/>
      <w:r>
        <w:rPr>
          <w:rFonts w:hint="default" w:ascii="Times New Roman" w:hAnsi="Times New Roman" w:cs="Times New Roman"/>
          <w:color w:val="000000"/>
        </w:rPr>
        <w:t>9.2 环境保护设施调试效果</w:t>
      </w:r>
      <w:bookmarkEnd w:id="120"/>
      <w:bookmarkEnd w:id="121"/>
      <w:bookmarkEnd w:id="122"/>
    </w:p>
    <w:p w14:paraId="12327123">
      <w:pPr>
        <w:pStyle w:val="4"/>
        <w:spacing w:before="190" w:after="190"/>
        <w:rPr>
          <w:rFonts w:hint="default" w:ascii="Times New Roman" w:hAnsi="Times New Roman" w:cs="Times New Roman"/>
        </w:rPr>
      </w:pPr>
      <w:bookmarkStart w:id="123" w:name="_Toc520410274"/>
      <w:r>
        <w:rPr>
          <w:rFonts w:hint="default" w:ascii="Times New Roman" w:hAnsi="Times New Roman" w:cs="Times New Roman"/>
        </w:rPr>
        <w:t>9.2.1 废水</w:t>
      </w:r>
      <w:bookmarkEnd w:id="123"/>
    </w:p>
    <w:p w14:paraId="48CDFE69">
      <w:pPr>
        <w:spacing w:line="480" w:lineRule="exact"/>
        <w:ind w:firstLine="560"/>
        <w:rPr>
          <w:rFonts w:hint="default" w:ascii="Times New Roman" w:hAnsi="Times New Roman" w:eastAsia="仿宋" w:cs="Times New Roman"/>
          <w:color w:val="000000"/>
        </w:rPr>
        <w:sectPr>
          <w:pgSz w:w="11906" w:h="16838"/>
          <w:pgMar w:top="1440" w:right="1800" w:bottom="1440" w:left="1800" w:header="851" w:footer="992" w:gutter="0"/>
          <w:cols w:space="425" w:num="1"/>
          <w:docGrid w:type="lines" w:linePitch="381" w:charSpace="0"/>
        </w:sectPr>
      </w:pPr>
      <w:r>
        <w:rPr>
          <w:rFonts w:hint="default" w:ascii="Times New Roman" w:hAnsi="Times New Roman" w:eastAsia="仿宋" w:cs="Times New Roman"/>
          <w:color w:val="000000"/>
        </w:rPr>
        <w:t>验收监测期间</w:t>
      </w:r>
      <w:r>
        <w:rPr>
          <w:rFonts w:hint="default" w:ascii="Times New Roman" w:hAnsi="Times New Roman" w:eastAsia="仿宋" w:cs="Times New Roman"/>
          <w:color w:val="000000"/>
          <w:lang w:val="en-US" w:eastAsia="zh-CN"/>
        </w:rPr>
        <w:t>九洲星际</w:t>
      </w:r>
      <w:r>
        <w:rPr>
          <w:rFonts w:hint="default" w:ascii="Times New Roman" w:hAnsi="Times New Roman" w:eastAsia="仿宋" w:cs="Times New Roman"/>
          <w:color w:val="000000"/>
        </w:rPr>
        <w:t>废水总排放量约</w:t>
      </w:r>
      <w:r>
        <w:rPr>
          <w:rFonts w:hint="default" w:ascii="Times New Roman" w:hAnsi="Times New Roman" w:eastAsia="仿宋" w:cs="Times New Roman"/>
          <w:color w:val="000000"/>
          <w:lang w:val="en-US" w:eastAsia="zh-CN"/>
        </w:rPr>
        <w:t>210</w:t>
      </w:r>
      <w:r>
        <w:rPr>
          <w:rFonts w:hint="default" w:ascii="Times New Roman" w:hAnsi="Times New Roman" w:eastAsia="仿宋" w:cs="Times New Roman"/>
          <w:color w:val="000000"/>
        </w:rPr>
        <w:t>吨/天，其中进入废水处理站的此次验收项目产生废水约</w:t>
      </w:r>
      <w:r>
        <w:rPr>
          <w:rFonts w:hint="default" w:ascii="Times New Roman" w:hAnsi="Times New Roman" w:eastAsia="仿宋" w:cs="Times New Roman"/>
          <w:color w:val="000000"/>
          <w:lang w:val="en-US" w:eastAsia="zh-CN"/>
        </w:rPr>
        <w:t>19.9</w:t>
      </w:r>
      <w:r>
        <w:rPr>
          <w:rFonts w:hint="default" w:ascii="Times New Roman" w:hAnsi="Times New Roman" w:eastAsia="仿宋" w:cs="Times New Roman"/>
          <w:color w:val="000000"/>
        </w:rPr>
        <w:t>吨/天。废水监测结果及评价见表9.2-1。</w:t>
      </w:r>
    </w:p>
    <w:p w14:paraId="4CA6E02D">
      <w:pPr>
        <w:spacing w:line="480" w:lineRule="exact"/>
        <w:ind w:firstLine="0" w:firstLineChars="0"/>
        <w:jc w:val="center"/>
        <w:rPr>
          <w:rFonts w:hint="default" w:ascii="Times New Roman" w:hAnsi="Times New Roman" w:cs="Times New Roman"/>
          <w:b/>
          <w:bCs/>
          <w:color w:val="000000"/>
        </w:rPr>
      </w:pPr>
      <w:r>
        <w:rPr>
          <w:rFonts w:hint="default" w:ascii="Times New Roman" w:hAnsi="Times New Roman" w:cs="Times New Roman"/>
          <w:b/>
          <w:bCs/>
          <w:color w:val="000000"/>
        </w:rPr>
        <w:t>表9.2-1  废水监测结果</w:t>
      </w:r>
    </w:p>
    <w:tbl>
      <w:tblPr>
        <w:tblStyle w:val="25"/>
        <w:tblW w:w="523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670"/>
        <w:gridCol w:w="1300"/>
        <w:gridCol w:w="1090"/>
        <w:gridCol w:w="1090"/>
        <w:gridCol w:w="1020"/>
        <w:gridCol w:w="1030"/>
        <w:gridCol w:w="1020"/>
        <w:gridCol w:w="1130"/>
        <w:gridCol w:w="1110"/>
        <w:gridCol w:w="1210"/>
        <w:gridCol w:w="1050"/>
        <w:gridCol w:w="1160"/>
        <w:gridCol w:w="1160"/>
      </w:tblGrid>
      <w:tr w14:paraId="29532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exact"/>
        </w:trPr>
        <w:tc>
          <w:tcPr>
            <w:tcW w:w="793" w:type="dxa"/>
            <w:vMerge w:val="restart"/>
            <w:tcBorders>
              <w:top w:val="single" w:color="auto" w:sz="12" w:space="0"/>
              <w:right w:val="single" w:color="auto" w:sz="4" w:space="0"/>
            </w:tcBorders>
            <w:vAlign w:val="center"/>
          </w:tcPr>
          <w:p w14:paraId="76D6FAC4">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监测</w:t>
            </w:r>
          </w:p>
          <w:p w14:paraId="15B90EC2">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点位</w:t>
            </w:r>
          </w:p>
        </w:tc>
        <w:tc>
          <w:tcPr>
            <w:tcW w:w="1970" w:type="dxa"/>
            <w:gridSpan w:val="2"/>
            <w:tcBorders>
              <w:top w:val="single" w:color="auto" w:sz="12" w:space="0"/>
              <w:left w:val="single" w:color="auto" w:sz="4" w:space="0"/>
              <w:bottom w:val="single" w:color="auto" w:sz="4" w:space="0"/>
              <w:right w:val="single" w:color="auto" w:sz="4" w:space="0"/>
            </w:tcBorders>
            <w:vAlign w:val="center"/>
          </w:tcPr>
          <w:p w14:paraId="46859279">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监测频次</w:t>
            </w:r>
          </w:p>
        </w:tc>
        <w:tc>
          <w:tcPr>
            <w:tcW w:w="1090" w:type="dxa"/>
            <w:tcBorders>
              <w:top w:val="single" w:color="auto" w:sz="12" w:space="0"/>
              <w:left w:val="single" w:color="auto" w:sz="4" w:space="0"/>
              <w:bottom w:val="single" w:color="auto" w:sz="4" w:space="0"/>
              <w:right w:val="single" w:color="auto" w:sz="4" w:space="0"/>
            </w:tcBorders>
            <w:vAlign w:val="center"/>
          </w:tcPr>
          <w:p w14:paraId="79312E51">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pH</w:t>
            </w:r>
          </w:p>
        </w:tc>
        <w:tc>
          <w:tcPr>
            <w:tcW w:w="1090" w:type="dxa"/>
            <w:tcBorders>
              <w:top w:val="single" w:color="auto" w:sz="12" w:space="0"/>
              <w:left w:val="single" w:color="auto" w:sz="4" w:space="0"/>
              <w:bottom w:val="single" w:color="auto" w:sz="4" w:space="0"/>
              <w:right w:val="single" w:color="auto" w:sz="4" w:space="0"/>
            </w:tcBorders>
            <w:vAlign w:val="center"/>
          </w:tcPr>
          <w:p w14:paraId="19A92B04">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COD</w:t>
            </w:r>
          </w:p>
        </w:tc>
        <w:tc>
          <w:tcPr>
            <w:tcW w:w="1020" w:type="dxa"/>
            <w:tcBorders>
              <w:top w:val="single" w:color="auto" w:sz="12" w:space="0"/>
              <w:left w:val="single" w:color="auto" w:sz="4" w:space="0"/>
              <w:bottom w:val="single" w:color="auto" w:sz="4" w:space="0"/>
              <w:right w:val="nil"/>
            </w:tcBorders>
            <w:vAlign w:val="center"/>
          </w:tcPr>
          <w:p w14:paraId="0F7C4117">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SS</w:t>
            </w:r>
          </w:p>
        </w:tc>
        <w:tc>
          <w:tcPr>
            <w:tcW w:w="1030" w:type="dxa"/>
            <w:tcBorders>
              <w:top w:val="single" w:color="auto" w:sz="12" w:space="0"/>
              <w:left w:val="single" w:color="auto" w:sz="4" w:space="0"/>
              <w:bottom w:val="single" w:color="auto" w:sz="4" w:space="0"/>
              <w:right w:val="nil"/>
            </w:tcBorders>
            <w:vAlign w:val="center"/>
          </w:tcPr>
          <w:p w14:paraId="569EA69A">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氨氮</w:t>
            </w:r>
          </w:p>
        </w:tc>
        <w:tc>
          <w:tcPr>
            <w:tcW w:w="1020" w:type="dxa"/>
            <w:tcBorders>
              <w:top w:val="single" w:color="auto" w:sz="12" w:space="0"/>
              <w:left w:val="single" w:color="auto" w:sz="4" w:space="0"/>
              <w:bottom w:val="single" w:color="auto" w:sz="4" w:space="0"/>
              <w:right w:val="nil"/>
            </w:tcBorders>
            <w:vAlign w:val="center"/>
          </w:tcPr>
          <w:p w14:paraId="18671EE7">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总磷</w:t>
            </w:r>
          </w:p>
        </w:tc>
        <w:tc>
          <w:tcPr>
            <w:tcW w:w="1130" w:type="dxa"/>
            <w:tcBorders>
              <w:top w:val="single" w:color="auto" w:sz="12" w:space="0"/>
              <w:left w:val="single" w:color="auto" w:sz="4" w:space="0"/>
              <w:bottom w:val="single" w:color="auto" w:sz="4" w:space="0"/>
              <w:right w:val="nil"/>
            </w:tcBorders>
            <w:vAlign w:val="center"/>
          </w:tcPr>
          <w:p w14:paraId="750DC602">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总氮</w:t>
            </w:r>
          </w:p>
        </w:tc>
        <w:tc>
          <w:tcPr>
            <w:tcW w:w="1110" w:type="dxa"/>
            <w:tcBorders>
              <w:top w:val="single" w:color="auto" w:sz="12" w:space="0"/>
              <w:left w:val="single" w:color="auto" w:sz="4" w:space="0"/>
              <w:bottom w:val="single" w:color="auto" w:sz="4" w:space="0"/>
              <w:right w:val="nil"/>
            </w:tcBorders>
            <w:vAlign w:val="center"/>
          </w:tcPr>
          <w:p w14:paraId="5A2E5EEA">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石油类</w:t>
            </w:r>
          </w:p>
        </w:tc>
        <w:tc>
          <w:tcPr>
            <w:tcW w:w="1210" w:type="dxa"/>
            <w:tcBorders>
              <w:top w:val="single" w:color="auto" w:sz="12" w:space="0"/>
              <w:left w:val="single" w:color="auto" w:sz="4" w:space="0"/>
              <w:bottom w:val="single" w:color="auto" w:sz="4" w:space="0"/>
              <w:right w:val="nil"/>
            </w:tcBorders>
            <w:vAlign w:val="center"/>
          </w:tcPr>
          <w:p w14:paraId="797B01E0">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动植物油</w:t>
            </w:r>
          </w:p>
        </w:tc>
        <w:tc>
          <w:tcPr>
            <w:tcW w:w="1050" w:type="dxa"/>
            <w:tcBorders>
              <w:top w:val="single" w:color="auto" w:sz="12" w:space="0"/>
              <w:left w:val="single" w:color="auto" w:sz="4" w:space="0"/>
              <w:bottom w:val="single" w:color="auto" w:sz="4" w:space="0"/>
              <w:right w:val="nil"/>
            </w:tcBorders>
            <w:vAlign w:val="center"/>
          </w:tcPr>
          <w:p w14:paraId="4E2978AB">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BOD</w:t>
            </w:r>
            <w:r>
              <w:rPr>
                <w:rFonts w:hint="default" w:ascii="Times New Roman" w:hAnsi="Times New Roman" w:eastAsia="仿宋" w:cs="Times New Roman"/>
                <w:color w:val="000000" w:themeColor="text1"/>
                <w:sz w:val="21"/>
                <w:szCs w:val="21"/>
                <w:vertAlign w:val="subscript"/>
                <w14:textFill>
                  <w14:solidFill>
                    <w14:schemeClr w14:val="tx1"/>
                  </w14:solidFill>
                </w14:textFill>
              </w:rPr>
              <w:t>5</w:t>
            </w:r>
          </w:p>
        </w:tc>
        <w:tc>
          <w:tcPr>
            <w:tcW w:w="1160" w:type="dxa"/>
            <w:tcBorders>
              <w:top w:val="single" w:color="auto" w:sz="12" w:space="0"/>
              <w:left w:val="single" w:color="auto" w:sz="4" w:space="0"/>
              <w:bottom w:val="single" w:color="auto" w:sz="4" w:space="0"/>
              <w:right w:val="nil"/>
            </w:tcBorders>
            <w:vAlign w:val="center"/>
          </w:tcPr>
          <w:p w14:paraId="5F374AE9">
            <w:pPr>
              <w:spacing w:line="320" w:lineRule="exact"/>
              <w:ind w:firstLine="0" w:firstLineChars="0"/>
              <w:jc w:val="center"/>
              <w:rPr>
                <w:rFonts w:hint="eastAsia" w:ascii="Times New Roman" w:hAnsi="Times New Roman" w:eastAsia="仿宋" w:cs="Times New Roman"/>
                <w:color w:val="000000" w:themeColor="text1"/>
                <w:sz w:val="21"/>
                <w:szCs w:val="21"/>
                <w:lang w:eastAsia="zh-CN"/>
                <w14:textFill>
                  <w14:solidFill>
                    <w14:schemeClr w14:val="tx1"/>
                  </w14:solidFill>
                </w14:textFill>
              </w:rPr>
            </w:pPr>
            <w:r>
              <w:rPr>
                <w:rFonts w:hint="eastAsia" w:eastAsia="仿宋" w:cs="Times New Roman"/>
                <w:color w:val="000000" w:themeColor="text1"/>
                <w:sz w:val="21"/>
                <w:szCs w:val="21"/>
                <w:lang w:eastAsia="zh-CN"/>
                <w14:textFill>
                  <w14:solidFill>
                    <w14:schemeClr w14:val="tx1"/>
                  </w14:solidFill>
                </w14:textFill>
              </w:rPr>
              <w:t>*</w:t>
            </w:r>
          </w:p>
        </w:tc>
        <w:tc>
          <w:tcPr>
            <w:tcW w:w="1160" w:type="dxa"/>
            <w:tcBorders>
              <w:top w:val="single" w:color="auto" w:sz="12" w:space="0"/>
              <w:left w:val="single" w:color="auto" w:sz="4" w:space="0"/>
              <w:bottom w:val="single" w:color="auto" w:sz="4" w:space="0"/>
              <w:right w:val="nil"/>
            </w:tcBorders>
            <w:vAlign w:val="center"/>
          </w:tcPr>
          <w:p w14:paraId="38E0415C">
            <w:pPr>
              <w:spacing w:line="320" w:lineRule="exact"/>
              <w:ind w:firstLine="0" w:firstLineChars="0"/>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lang w:val="en-US" w:eastAsia="zh-CN"/>
                <w14:textFill>
                  <w14:solidFill>
                    <w14:schemeClr w14:val="tx1"/>
                  </w14:solidFill>
                </w14:textFill>
              </w:rPr>
              <w:t>可吸附有机卤素</w:t>
            </w:r>
          </w:p>
        </w:tc>
      </w:tr>
      <w:tr w14:paraId="1E43C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exact"/>
        </w:trPr>
        <w:tc>
          <w:tcPr>
            <w:tcW w:w="793" w:type="dxa"/>
            <w:vMerge w:val="continue"/>
            <w:tcBorders>
              <w:bottom w:val="single" w:color="auto" w:sz="4" w:space="0"/>
              <w:right w:val="single" w:color="auto" w:sz="4" w:space="0"/>
            </w:tcBorders>
            <w:vAlign w:val="center"/>
          </w:tcPr>
          <w:p w14:paraId="61864E36">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p>
        </w:tc>
        <w:tc>
          <w:tcPr>
            <w:tcW w:w="1970" w:type="dxa"/>
            <w:gridSpan w:val="2"/>
            <w:tcBorders>
              <w:top w:val="single" w:color="auto" w:sz="4" w:space="0"/>
              <w:left w:val="single" w:color="auto" w:sz="4" w:space="0"/>
              <w:bottom w:val="single" w:color="auto" w:sz="4" w:space="0"/>
              <w:right w:val="single" w:color="auto" w:sz="4" w:space="0"/>
            </w:tcBorders>
            <w:vAlign w:val="center"/>
          </w:tcPr>
          <w:p w14:paraId="183FB4CD">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单位</w:t>
            </w:r>
          </w:p>
        </w:tc>
        <w:tc>
          <w:tcPr>
            <w:tcW w:w="1090" w:type="dxa"/>
            <w:tcBorders>
              <w:top w:val="single" w:color="auto" w:sz="4" w:space="0"/>
              <w:left w:val="single" w:color="auto" w:sz="4" w:space="0"/>
              <w:bottom w:val="single" w:color="auto" w:sz="4" w:space="0"/>
              <w:right w:val="single" w:color="auto" w:sz="4" w:space="0"/>
            </w:tcBorders>
            <w:vAlign w:val="center"/>
          </w:tcPr>
          <w:p w14:paraId="10793E1F">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14:paraId="0118A4E2">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mg/L</w:t>
            </w:r>
          </w:p>
        </w:tc>
        <w:tc>
          <w:tcPr>
            <w:tcW w:w="1020" w:type="dxa"/>
            <w:tcBorders>
              <w:top w:val="single" w:color="auto" w:sz="4" w:space="0"/>
              <w:left w:val="single" w:color="auto" w:sz="4" w:space="0"/>
              <w:bottom w:val="single" w:color="auto" w:sz="4" w:space="0"/>
              <w:right w:val="nil"/>
            </w:tcBorders>
            <w:vAlign w:val="center"/>
          </w:tcPr>
          <w:p w14:paraId="25902924">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mg/L</w:t>
            </w:r>
          </w:p>
        </w:tc>
        <w:tc>
          <w:tcPr>
            <w:tcW w:w="1030" w:type="dxa"/>
            <w:tcBorders>
              <w:top w:val="single" w:color="auto" w:sz="4" w:space="0"/>
              <w:left w:val="single" w:color="auto" w:sz="4" w:space="0"/>
              <w:bottom w:val="single" w:color="auto" w:sz="4" w:space="0"/>
              <w:right w:val="nil"/>
            </w:tcBorders>
            <w:vAlign w:val="center"/>
          </w:tcPr>
          <w:p w14:paraId="01E0DE91">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mg/L</w:t>
            </w:r>
          </w:p>
        </w:tc>
        <w:tc>
          <w:tcPr>
            <w:tcW w:w="1020" w:type="dxa"/>
            <w:tcBorders>
              <w:top w:val="single" w:color="auto" w:sz="4" w:space="0"/>
              <w:left w:val="single" w:color="auto" w:sz="4" w:space="0"/>
              <w:bottom w:val="single" w:color="auto" w:sz="4" w:space="0"/>
              <w:right w:val="nil"/>
            </w:tcBorders>
            <w:vAlign w:val="center"/>
          </w:tcPr>
          <w:p w14:paraId="43D434FC">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mg/L</w:t>
            </w:r>
          </w:p>
        </w:tc>
        <w:tc>
          <w:tcPr>
            <w:tcW w:w="1130" w:type="dxa"/>
            <w:tcBorders>
              <w:top w:val="single" w:color="auto" w:sz="4" w:space="0"/>
              <w:left w:val="single" w:color="auto" w:sz="4" w:space="0"/>
              <w:bottom w:val="single" w:color="auto" w:sz="4" w:space="0"/>
              <w:right w:val="nil"/>
            </w:tcBorders>
            <w:vAlign w:val="center"/>
          </w:tcPr>
          <w:p w14:paraId="13126FC9">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mg/L</w:t>
            </w:r>
          </w:p>
        </w:tc>
        <w:tc>
          <w:tcPr>
            <w:tcW w:w="1110" w:type="dxa"/>
            <w:tcBorders>
              <w:top w:val="single" w:color="auto" w:sz="4" w:space="0"/>
              <w:left w:val="single" w:color="auto" w:sz="4" w:space="0"/>
              <w:bottom w:val="single" w:color="auto" w:sz="4" w:space="0"/>
              <w:right w:val="nil"/>
            </w:tcBorders>
            <w:vAlign w:val="center"/>
          </w:tcPr>
          <w:p w14:paraId="3F6018F6">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mg/L</w:t>
            </w:r>
          </w:p>
        </w:tc>
        <w:tc>
          <w:tcPr>
            <w:tcW w:w="1210" w:type="dxa"/>
            <w:tcBorders>
              <w:top w:val="single" w:color="auto" w:sz="4" w:space="0"/>
              <w:left w:val="single" w:color="auto" w:sz="4" w:space="0"/>
              <w:bottom w:val="single" w:color="auto" w:sz="4" w:space="0"/>
              <w:right w:val="nil"/>
            </w:tcBorders>
            <w:vAlign w:val="center"/>
          </w:tcPr>
          <w:p w14:paraId="6AB63C8F">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mg/L</w:t>
            </w:r>
          </w:p>
        </w:tc>
        <w:tc>
          <w:tcPr>
            <w:tcW w:w="1050" w:type="dxa"/>
            <w:tcBorders>
              <w:top w:val="single" w:color="auto" w:sz="4" w:space="0"/>
              <w:left w:val="single" w:color="auto" w:sz="4" w:space="0"/>
              <w:bottom w:val="single" w:color="auto" w:sz="4" w:space="0"/>
              <w:right w:val="nil"/>
            </w:tcBorders>
            <w:vAlign w:val="center"/>
          </w:tcPr>
          <w:p w14:paraId="6B5DED53">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mg/L</w:t>
            </w:r>
          </w:p>
        </w:tc>
        <w:tc>
          <w:tcPr>
            <w:tcW w:w="1160" w:type="dxa"/>
            <w:tcBorders>
              <w:top w:val="single" w:color="auto" w:sz="4" w:space="0"/>
              <w:left w:val="single" w:color="auto" w:sz="4" w:space="0"/>
              <w:bottom w:val="single" w:color="auto" w:sz="4" w:space="0"/>
              <w:right w:val="nil"/>
            </w:tcBorders>
            <w:vAlign w:val="center"/>
          </w:tcPr>
          <w:p w14:paraId="6BA806A1">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μg/L</w:t>
            </w:r>
          </w:p>
        </w:tc>
        <w:tc>
          <w:tcPr>
            <w:tcW w:w="1160" w:type="dxa"/>
            <w:tcBorders>
              <w:top w:val="single" w:color="auto" w:sz="4" w:space="0"/>
              <w:left w:val="single" w:color="auto" w:sz="4" w:space="0"/>
              <w:bottom w:val="single" w:color="auto" w:sz="4" w:space="0"/>
              <w:right w:val="nil"/>
            </w:tcBorders>
            <w:vAlign w:val="center"/>
          </w:tcPr>
          <w:p w14:paraId="0AF578E9">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μg/L</w:t>
            </w:r>
          </w:p>
        </w:tc>
      </w:tr>
      <w:tr w14:paraId="57752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93" w:type="dxa"/>
            <w:vMerge w:val="restart"/>
            <w:tcBorders>
              <w:top w:val="single" w:color="auto" w:sz="4" w:space="0"/>
              <w:bottom w:val="single" w:color="auto" w:sz="12" w:space="0"/>
              <w:right w:val="single" w:color="auto" w:sz="4" w:space="0"/>
            </w:tcBorders>
            <w:vAlign w:val="center"/>
          </w:tcPr>
          <w:p w14:paraId="57CCC5FE">
            <w:pPr>
              <w:spacing w:line="320" w:lineRule="exact"/>
              <w:ind w:firstLine="0" w:firstLineChars="0"/>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lang w:val="en-US" w:eastAsia="zh-CN"/>
                <w14:textFill>
                  <w14:solidFill>
                    <w14:schemeClr w14:val="tx1"/>
                  </w14:solidFill>
                </w14:textFill>
              </w:rPr>
              <w:t>总排口</w:t>
            </w:r>
          </w:p>
        </w:tc>
        <w:tc>
          <w:tcPr>
            <w:tcW w:w="670" w:type="dxa"/>
            <w:vMerge w:val="restart"/>
            <w:tcBorders>
              <w:top w:val="single" w:color="auto" w:sz="4" w:space="0"/>
              <w:left w:val="single" w:color="auto" w:sz="4" w:space="0"/>
              <w:bottom w:val="single" w:color="auto" w:sz="4" w:space="0"/>
              <w:right w:val="single" w:color="auto" w:sz="4" w:space="0"/>
            </w:tcBorders>
            <w:vAlign w:val="center"/>
          </w:tcPr>
          <w:p w14:paraId="47C20FDD">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lang w:val="en-US" w:eastAsia="zh-CN"/>
                <w14:textFill>
                  <w14:solidFill>
                    <w14:schemeClr w14:val="tx1"/>
                  </w14:solidFill>
                </w14:textFill>
              </w:rPr>
              <w:t>10</w:t>
            </w:r>
            <w:r>
              <w:rPr>
                <w:rFonts w:hint="default" w:ascii="Times New Roman" w:hAnsi="Times New Roman" w:eastAsia="仿宋" w:cs="Times New Roman"/>
                <w:color w:val="000000" w:themeColor="text1"/>
                <w:sz w:val="21"/>
                <w:szCs w:val="21"/>
                <w14:textFill>
                  <w14:solidFill>
                    <w14:schemeClr w14:val="tx1"/>
                  </w14:solidFill>
                </w14:textFill>
              </w:rPr>
              <w:t>月</w:t>
            </w:r>
            <w:r>
              <w:rPr>
                <w:rFonts w:hint="default" w:ascii="Times New Roman" w:hAnsi="Times New Roman" w:eastAsia="仿宋" w:cs="Times New Roman"/>
                <w:color w:val="000000" w:themeColor="text1"/>
                <w:sz w:val="21"/>
                <w:szCs w:val="21"/>
                <w:lang w:val="en-US" w:eastAsia="zh-CN"/>
                <w14:textFill>
                  <w14:solidFill>
                    <w14:schemeClr w14:val="tx1"/>
                  </w14:solidFill>
                </w14:textFill>
              </w:rPr>
              <w:t>17</w:t>
            </w:r>
            <w:r>
              <w:rPr>
                <w:rFonts w:hint="default" w:ascii="Times New Roman" w:hAnsi="Times New Roman" w:eastAsia="仿宋" w:cs="Times New Roman"/>
                <w:color w:val="000000" w:themeColor="text1"/>
                <w:sz w:val="21"/>
                <w:szCs w:val="21"/>
                <w14:textFill>
                  <w14:solidFill>
                    <w14:schemeClr w14:val="tx1"/>
                  </w14:solidFill>
                </w14:textFill>
              </w:rPr>
              <w:t>日</w:t>
            </w:r>
          </w:p>
        </w:tc>
        <w:tc>
          <w:tcPr>
            <w:tcW w:w="1300" w:type="dxa"/>
            <w:tcBorders>
              <w:top w:val="single" w:color="auto" w:sz="4" w:space="0"/>
              <w:left w:val="single" w:color="auto" w:sz="4" w:space="0"/>
              <w:bottom w:val="single" w:color="auto" w:sz="4" w:space="0"/>
              <w:right w:val="single" w:color="auto" w:sz="4" w:space="0"/>
            </w:tcBorders>
            <w:vAlign w:val="center"/>
          </w:tcPr>
          <w:p w14:paraId="078F9F8F">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第一次</w:t>
            </w:r>
          </w:p>
        </w:tc>
        <w:tc>
          <w:tcPr>
            <w:tcW w:w="1090" w:type="dxa"/>
            <w:tcBorders>
              <w:top w:val="single" w:color="auto" w:sz="4" w:space="0"/>
              <w:left w:val="single" w:color="auto" w:sz="4" w:space="0"/>
              <w:bottom w:val="single" w:color="auto" w:sz="4" w:space="0"/>
              <w:right w:val="single" w:color="auto" w:sz="4" w:space="0"/>
            </w:tcBorders>
            <w:vAlign w:val="center"/>
          </w:tcPr>
          <w:p w14:paraId="5BF586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1090" w:type="dxa"/>
            <w:tcBorders>
              <w:top w:val="single" w:color="auto" w:sz="4" w:space="0"/>
              <w:left w:val="single" w:color="auto" w:sz="4" w:space="0"/>
              <w:bottom w:val="single" w:color="auto" w:sz="4" w:space="0"/>
              <w:right w:val="single" w:color="auto" w:sz="4" w:space="0"/>
            </w:tcBorders>
            <w:vAlign w:val="center"/>
          </w:tcPr>
          <w:p w14:paraId="04A44E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1020" w:type="dxa"/>
            <w:tcBorders>
              <w:top w:val="single" w:color="auto" w:sz="4" w:space="0"/>
              <w:left w:val="single" w:color="auto" w:sz="4" w:space="0"/>
              <w:bottom w:val="single" w:color="auto" w:sz="4" w:space="0"/>
              <w:right w:val="nil"/>
            </w:tcBorders>
            <w:vAlign w:val="center"/>
          </w:tcPr>
          <w:p w14:paraId="1070ED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0" w:type="dxa"/>
            <w:tcBorders>
              <w:top w:val="single" w:color="auto" w:sz="4" w:space="0"/>
              <w:left w:val="single" w:color="auto" w:sz="4" w:space="0"/>
              <w:bottom w:val="single" w:color="auto" w:sz="4" w:space="0"/>
              <w:right w:val="nil"/>
            </w:tcBorders>
            <w:vAlign w:val="center"/>
          </w:tcPr>
          <w:p w14:paraId="7F5E88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0.436</w:t>
            </w:r>
          </w:p>
        </w:tc>
        <w:tc>
          <w:tcPr>
            <w:tcW w:w="1020" w:type="dxa"/>
            <w:tcBorders>
              <w:top w:val="single" w:color="auto" w:sz="4" w:space="0"/>
              <w:left w:val="single" w:color="auto" w:sz="4" w:space="0"/>
              <w:bottom w:val="single" w:color="auto" w:sz="4" w:space="0"/>
              <w:right w:val="nil"/>
            </w:tcBorders>
            <w:vAlign w:val="center"/>
          </w:tcPr>
          <w:p w14:paraId="26C6C5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0.37</w:t>
            </w:r>
          </w:p>
        </w:tc>
        <w:tc>
          <w:tcPr>
            <w:tcW w:w="1130" w:type="dxa"/>
            <w:tcBorders>
              <w:top w:val="single" w:color="auto" w:sz="4" w:space="0"/>
              <w:left w:val="single" w:color="auto" w:sz="4" w:space="0"/>
              <w:bottom w:val="single" w:color="auto" w:sz="4" w:space="0"/>
              <w:right w:val="nil"/>
            </w:tcBorders>
            <w:vAlign w:val="center"/>
          </w:tcPr>
          <w:p w14:paraId="28DA6F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110" w:type="dxa"/>
            <w:tcBorders>
              <w:top w:val="single" w:color="auto" w:sz="4" w:space="0"/>
              <w:left w:val="single" w:color="auto" w:sz="4" w:space="0"/>
              <w:bottom w:val="single" w:color="auto" w:sz="4" w:space="0"/>
              <w:right w:val="nil"/>
            </w:tcBorders>
            <w:vAlign w:val="center"/>
          </w:tcPr>
          <w:p w14:paraId="04D951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0.59</w:t>
            </w:r>
          </w:p>
        </w:tc>
        <w:tc>
          <w:tcPr>
            <w:tcW w:w="1210" w:type="dxa"/>
            <w:tcBorders>
              <w:top w:val="single" w:color="auto" w:sz="4" w:space="0"/>
              <w:left w:val="single" w:color="auto" w:sz="4" w:space="0"/>
              <w:bottom w:val="single" w:color="auto" w:sz="4" w:space="0"/>
              <w:right w:val="nil"/>
            </w:tcBorders>
            <w:vAlign w:val="center"/>
          </w:tcPr>
          <w:p w14:paraId="43BD1E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0.35</w:t>
            </w:r>
          </w:p>
        </w:tc>
        <w:tc>
          <w:tcPr>
            <w:tcW w:w="1050" w:type="dxa"/>
            <w:tcBorders>
              <w:top w:val="single" w:color="auto" w:sz="4" w:space="0"/>
              <w:left w:val="single" w:color="auto" w:sz="4" w:space="0"/>
              <w:bottom w:val="single" w:color="auto" w:sz="4" w:space="0"/>
              <w:right w:val="nil"/>
            </w:tcBorders>
            <w:vAlign w:val="center"/>
          </w:tcPr>
          <w:p w14:paraId="146B60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160" w:type="dxa"/>
            <w:tcBorders>
              <w:top w:val="single" w:color="auto" w:sz="4" w:space="0"/>
              <w:left w:val="single" w:color="auto" w:sz="4" w:space="0"/>
              <w:bottom w:val="single" w:color="auto" w:sz="4" w:space="0"/>
              <w:right w:val="nil"/>
            </w:tcBorders>
            <w:vAlign w:val="center"/>
          </w:tcPr>
          <w:p w14:paraId="4A6FFE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0.2L</w:t>
            </w:r>
          </w:p>
        </w:tc>
        <w:tc>
          <w:tcPr>
            <w:tcW w:w="1160" w:type="dxa"/>
            <w:tcBorders>
              <w:top w:val="single" w:color="auto" w:sz="4" w:space="0"/>
              <w:left w:val="single" w:color="auto" w:sz="4" w:space="0"/>
              <w:bottom w:val="single" w:color="auto" w:sz="4" w:space="0"/>
              <w:right w:val="nil"/>
            </w:tcBorders>
            <w:vAlign w:val="center"/>
          </w:tcPr>
          <w:p w14:paraId="42F4F2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576</w:t>
            </w:r>
          </w:p>
        </w:tc>
      </w:tr>
      <w:tr w14:paraId="44107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93" w:type="dxa"/>
            <w:vMerge w:val="continue"/>
            <w:tcBorders>
              <w:top w:val="single" w:color="auto" w:sz="4" w:space="0"/>
              <w:bottom w:val="single" w:color="auto" w:sz="12" w:space="0"/>
              <w:right w:val="single" w:color="auto" w:sz="4" w:space="0"/>
            </w:tcBorders>
            <w:vAlign w:val="center"/>
          </w:tcPr>
          <w:p w14:paraId="66C5372E">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p>
        </w:tc>
        <w:tc>
          <w:tcPr>
            <w:tcW w:w="670" w:type="dxa"/>
            <w:vMerge w:val="continue"/>
            <w:tcBorders>
              <w:top w:val="single" w:color="auto" w:sz="4" w:space="0"/>
              <w:left w:val="single" w:color="auto" w:sz="4" w:space="0"/>
              <w:bottom w:val="single" w:color="auto" w:sz="4" w:space="0"/>
              <w:right w:val="single" w:color="auto" w:sz="4" w:space="0"/>
            </w:tcBorders>
            <w:vAlign w:val="center"/>
          </w:tcPr>
          <w:p w14:paraId="48652E64">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vAlign w:val="center"/>
          </w:tcPr>
          <w:p w14:paraId="67EB0A83">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第二次</w:t>
            </w:r>
          </w:p>
        </w:tc>
        <w:tc>
          <w:tcPr>
            <w:tcW w:w="1090" w:type="dxa"/>
            <w:tcBorders>
              <w:top w:val="single" w:color="auto" w:sz="4" w:space="0"/>
              <w:left w:val="single" w:color="auto" w:sz="4" w:space="0"/>
              <w:bottom w:val="single" w:color="auto" w:sz="4" w:space="0"/>
              <w:right w:val="single" w:color="auto" w:sz="4" w:space="0"/>
            </w:tcBorders>
            <w:vAlign w:val="center"/>
          </w:tcPr>
          <w:p w14:paraId="68005F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090" w:type="dxa"/>
            <w:tcBorders>
              <w:top w:val="single" w:color="auto" w:sz="4" w:space="0"/>
              <w:left w:val="single" w:color="auto" w:sz="4" w:space="0"/>
              <w:bottom w:val="single" w:color="auto" w:sz="4" w:space="0"/>
              <w:right w:val="single" w:color="auto" w:sz="4" w:space="0"/>
            </w:tcBorders>
            <w:vAlign w:val="center"/>
          </w:tcPr>
          <w:p w14:paraId="4901C2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020" w:type="dxa"/>
            <w:tcBorders>
              <w:top w:val="single" w:color="auto" w:sz="4" w:space="0"/>
              <w:left w:val="single" w:color="auto" w:sz="4" w:space="0"/>
              <w:bottom w:val="single" w:color="auto" w:sz="4" w:space="0"/>
              <w:right w:val="nil"/>
            </w:tcBorders>
            <w:vAlign w:val="center"/>
          </w:tcPr>
          <w:p w14:paraId="537E54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0" w:type="dxa"/>
            <w:tcBorders>
              <w:top w:val="single" w:color="auto" w:sz="4" w:space="0"/>
              <w:left w:val="single" w:color="auto" w:sz="4" w:space="0"/>
              <w:bottom w:val="single" w:color="auto" w:sz="4" w:space="0"/>
              <w:right w:val="nil"/>
            </w:tcBorders>
            <w:vAlign w:val="center"/>
          </w:tcPr>
          <w:p w14:paraId="21F00F2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0.436</w:t>
            </w:r>
          </w:p>
        </w:tc>
        <w:tc>
          <w:tcPr>
            <w:tcW w:w="1020" w:type="dxa"/>
            <w:tcBorders>
              <w:top w:val="single" w:color="auto" w:sz="4" w:space="0"/>
              <w:left w:val="single" w:color="auto" w:sz="4" w:space="0"/>
              <w:bottom w:val="single" w:color="auto" w:sz="4" w:space="0"/>
              <w:right w:val="nil"/>
            </w:tcBorders>
            <w:vAlign w:val="center"/>
          </w:tcPr>
          <w:p w14:paraId="532E09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0.42</w:t>
            </w:r>
          </w:p>
        </w:tc>
        <w:tc>
          <w:tcPr>
            <w:tcW w:w="1130" w:type="dxa"/>
            <w:tcBorders>
              <w:top w:val="single" w:color="auto" w:sz="4" w:space="0"/>
              <w:left w:val="single" w:color="auto" w:sz="4" w:space="0"/>
              <w:bottom w:val="single" w:color="auto" w:sz="4" w:space="0"/>
              <w:right w:val="nil"/>
            </w:tcBorders>
            <w:vAlign w:val="center"/>
          </w:tcPr>
          <w:p w14:paraId="68C8C6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17.4</w:t>
            </w:r>
          </w:p>
        </w:tc>
        <w:tc>
          <w:tcPr>
            <w:tcW w:w="1110" w:type="dxa"/>
            <w:tcBorders>
              <w:top w:val="single" w:color="auto" w:sz="4" w:space="0"/>
              <w:left w:val="single" w:color="auto" w:sz="4" w:space="0"/>
              <w:bottom w:val="single" w:color="auto" w:sz="4" w:space="0"/>
              <w:right w:val="nil"/>
            </w:tcBorders>
            <w:vAlign w:val="center"/>
          </w:tcPr>
          <w:p w14:paraId="465D8E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0.51</w:t>
            </w:r>
          </w:p>
        </w:tc>
        <w:tc>
          <w:tcPr>
            <w:tcW w:w="1210" w:type="dxa"/>
            <w:tcBorders>
              <w:top w:val="single" w:color="auto" w:sz="4" w:space="0"/>
              <w:left w:val="single" w:color="auto" w:sz="4" w:space="0"/>
              <w:bottom w:val="single" w:color="auto" w:sz="4" w:space="0"/>
              <w:right w:val="nil"/>
            </w:tcBorders>
            <w:vAlign w:val="center"/>
          </w:tcPr>
          <w:p w14:paraId="6A6989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0.19</w:t>
            </w:r>
          </w:p>
        </w:tc>
        <w:tc>
          <w:tcPr>
            <w:tcW w:w="1050" w:type="dxa"/>
            <w:tcBorders>
              <w:top w:val="single" w:color="auto" w:sz="4" w:space="0"/>
              <w:left w:val="single" w:color="auto" w:sz="4" w:space="0"/>
              <w:bottom w:val="single" w:color="auto" w:sz="4" w:space="0"/>
              <w:right w:val="nil"/>
            </w:tcBorders>
            <w:vAlign w:val="center"/>
          </w:tcPr>
          <w:p w14:paraId="493AB3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160" w:type="dxa"/>
            <w:tcBorders>
              <w:top w:val="single" w:color="auto" w:sz="4" w:space="0"/>
              <w:left w:val="single" w:color="auto" w:sz="4" w:space="0"/>
              <w:bottom w:val="single" w:color="auto" w:sz="4" w:space="0"/>
              <w:right w:val="nil"/>
            </w:tcBorders>
            <w:vAlign w:val="center"/>
          </w:tcPr>
          <w:p w14:paraId="7B65D1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0.2L</w:t>
            </w:r>
          </w:p>
        </w:tc>
        <w:tc>
          <w:tcPr>
            <w:tcW w:w="1160" w:type="dxa"/>
            <w:tcBorders>
              <w:top w:val="single" w:color="auto" w:sz="4" w:space="0"/>
              <w:left w:val="single" w:color="auto" w:sz="4" w:space="0"/>
              <w:bottom w:val="single" w:color="auto" w:sz="4" w:space="0"/>
              <w:right w:val="nil"/>
            </w:tcBorders>
            <w:vAlign w:val="center"/>
          </w:tcPr>
          <w:p w14:paraId="2620CC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574</w:t>
            </w:r>
          </w:p>
        </w:tc>
      </w:tr>
      <w:tr w14:paraId="54871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93" w:type="dxa"/>
            <w:vMerge w:val="continue"/>
            <w:tcBorders>
              <w:top w:val="single" w:color="auto" w:sz="4" w:space="0"/>
              <w:bottom w:val="single" w:color="auto" w:sz="12" w:space="0"/>
              <w:right w:val="single" w:color="auto" w:sz="4" w:space="0"/>
            </w:tcBorders>
            <w:vAlign w:val="center"/>
          </w:tcPr>
          <w:p w14:paraId="608FB2CB">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p>
        </w:tc>
        <w:tc>
          <w:tcPr>
            <w:tcW w:w="670" w:type="dxa"/>
            <w:vMerge w:val="continue"/>
            <w:tcBorders>
              <w:top w:val="single" w:color="auto" w:sz="4" w:space="0"/>
              <w:left w:val="single" w:color="auto" w:sz="4" w:space="0"/>
              <w:bottom w:val="single" w:color="auto" w:sz="4" w:space="0"/>
              <w:right w:val="single" w:color="auto" w:sz="4" w:space="0"/>
            </w:tcBorders>
            <w:vAlign w:val="center"/>
          </w:tcPr>
          <w:p w14:paraId="0B449164">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vAlign w:val="center"/>
          </w:tcPr>
          <w:p w14:paraId="2DC1E171">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第三次</w:t>
            </w:r>
          </w:p>
        </w:tc>
        <w:tc>
          <w:tcPr>
            <w:tcW w:w="1090" w:type="dxa"/>
            <w:tcBorders>
              <w:top w:val="single" w:color="auto" w:sz="4" w:space="0"/>
              <w:left w:val="single" w:color="auto" w:sz="4" w:space="0"/>
              <w:bottom w:val="single" w:color="auto" w:sz="4" w:space="0"/>
              <w:right w:val="single" w:color="auto" w:sz="4" w:space="0"/>
            </w:tcBorders>
            <w:vAlign w:val="center"/>
          </w:tcPr>
          <w:p w14:paraId="39A3DF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090" w:type="dxa"/>
            <w:tcBorders>
              <w:top w:val="single" w:color="auto" w:sz="4" w:space="0"/>
              <w:left w:val="single" w:color="auto" w:sz="4" w:space="0"/>
              <w:bottom w:val="single" w:color="auto" w:sz="4" w:space="0"/>
              <w:right w:val="single" w:color="auto" w:sz="4" w:space="0"/>
            </w:tcBorders>
            <w:vAlign w:val="center"/>
          </w:tcPr>
          <w:p w14:paraId="6BE043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20" w:type="dxa"/>
            <w:tcBorders>
              <w:top w:val="single" w:color="auto" w:sz="4" w:space="0"/>
              <w:left w:val="single" w:color="auto" w:sz="4" w:space="0"/>
              <w:bottom w:val="single" w:color="auto" w:sz="4" w:space="0"/>
              <w:right w:val="nil"/>
            </w:tcBorders>
            <w:vAlign w:val="center"/>
          </w:tcPr>
          <w:p w14:paraId="657089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030" w:type="dxa"/>
            <w:tcBorders>
              <w:top w:val="single" w:color="auto" w:sz="4" w:space="0"/>
              <w:left w:val="single" w:color="auto" w:sz="4" w:space="0"/>
              <w:bottom w:val="single" w:color="auto" w:sz="4" w:space="0"/>
              <w:right w:val="nil"/>
            </w:tcBorders>
            <w:vAlign w:val="center"/>
          </w:tcPr>
          <w:p w14:paraId="2A1980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0.455</w:t>
            </w:r>
          </w:p>
        </w:tc>
        <w:tc>
          <w:tcPr>
            <w:tcW w:w="1020" w:type="dxa"/>
            <w:tcBorders>
              <w:top w:val="single" w:color="auto" w:sz="4" w:space="0"/>
              <w:left w:val="single" w:color="auto" w:sz="4" w:space="0"/>
              <w:bottom w:val="single" w:color="auto" w:sz="4" w:space="0"/>
              <w:right w:val="nil"/>
            </w:tcBorders>
            <w:vAlign w:val="center"/>
          </w:tcPr>
          <w:p w14:paraId="44B1A9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0.38</w:t>
            </w:r>
          </w:p>
        </w:tc>
        <w:tc>
          <w:tcPr>
            <w:tcW w:w="1130" w:type="dxa"/>
            <w:tcBorders>
              <w:top w:val="single" w:color="auto" w:sz="4" w:space="0"/>
              <w:left w:val="single" w:color="auto" w:sz="4" w:space="0"/>
              <w:bottom w:val="single" w:color="auto" w:sz="4" w:space="0"/>
              <w:right w:val="nil"/>
            </w:tcBorders>
            <w:vAlign w:val="center"/>
          </w:tcPr>
          <w:p w14:paraId="6808FC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1110" w:type="dxa"/>
            <w:tcBorders>
              <w:top w:val="single" w:color="auto" w:sz="4" w:space="0"/>
              <w:left w:val="single" w:color="auto" w:sz="4" w:space="0"/>
              <w:bottom w:val="single" w:color="auto" w:sz="4" w:space="0"/>
              <w:right w:val="nil"/>
            </w:tcBorders>
            <w:vAlign w:val="center"/>
          </w:tcPr>
          <w:p w14:paraId="0F576F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0.36</w:t>
            </w:r>
          </w:p>
        </w:tc>
        <w:tc>
          <w:tcPr>
            <w:tcW w:w="1210" w:type="dxa"/>
            <w:tcBorders>
              <w:top w:val="single" w:color="auto" w:sz="4" w:space="0"/>
              <w:left w:val="single" w:color="auto" w:sz="4" w:space="0"/>
              <w:bottom w:val="single" w:color="auto" w:sz="4" w:space="0"/>
              <w:right w:val="nil"/>
            </w:tcBorders>
            <w:vAlign w:val="center"/>
          </w:tcPr>
          <w:p w14:paraId="76BDCB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0.21</w:t>
            </w:r>
          </w:p>
        </w:tc>
        <w:tc>
          <w:tcPr>
            <w:tcW w:w="1050" w:type="dxa"/>
            <w:tcBorders>
              <w:top w:val="single" w:color="auto" w:sz="4" w:space="0"/>
              <w:left w:val="single" w:color="auto" w:sz="4" w:space="0"/>
              <w:bottom w:val="single" w:color="auto" w:sz="4" w:space="0"/>
              <w:right w:val="nil"/>
            </w:tcBorders>
            <w:vAlign w:val="center"/>
          </w:tcPr>
          <w:p w14:paraId="049B11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160" w:type="dxa"/>
            <w:tcBorders>
              <w:top w:val="single" w:color="auto" w:sz="4" w:space="0"/>
              <w:left w:val="single" w:color="auto" w:sz="4" w:space="0"/>
              <w:bottom w:val="single" w:color="auto" w:sz="4" w:space="0"/>
              <w:right w:val="nil"/>
            </w:tcBorders>
            <w:vAlign w:val="center"/>
          </w:tcPr>
          <w:p w14:paraId="12EDEA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0.2L</w:t>
            </w:r>
          </w:p>
        </w:tc>
        <w:tc>
          <w:tcPr>
            <w:tcW w:w="1160" w:type="dxa"/>
            <w:tcBorders>
              <w:top w:val="single" w:color="auto" w:sz="4" w:space="0"/>
              <w:left w:val="single" w:color="auto" w:sz="4" w:space="0"/>
              <w:bottom w:val="single" w:color="auto" w:sz="4" w:space="0"/>
              <w:right w:val="nil"/>
            </w:tcBorders>
            <w:vAlign w:val="center"/>
          </w:tcPr>
          <w:p w14:paraId="66A4DA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562</w:t>
            </w:r>
          </w:p>
        </w:tc>
      </w:tr>
      <w:tr w14:paraId="7CDF6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93" w:type="dxa"/>
            <w:vMerge w:val="continue"/>
            <w:tcBorders>
              <w:top w:val="single" w:color="auto" w:sz="4" w:space="0"/>
              <w:bottom w:val="single" w:color="auto" w:sz="12" w:space="0"/>
              <w:right w:val="single" w:color="auto" w:sz="4" w:space="0"/>
            </w:tcBorders>
            <w:vAlign w:val="center"/>
          </w:tcPr>
          <w:p w14:paraId="5796A43C">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p>
        </w:tc>
        <w:tc>
          <w:tcPr>
            <w:tcW w:w="670" w:type="dxa"/>
            <w:vMerge w:val="continue"/>
            <w:tcBorders>
              <w:top w:val="single" w:color="auto" w:sz="4" w:space="0"/>
              <w:left w:val="single" w:color="auto" w:sz="4" w:space="0"/>
              <w:bottom w:val="single" w:color="auto" w:sz="4" w:space="0"/>
              <w:right w:val="single" w:color="auto" w:sz="4" w:space="0"/>
            </w:tcBorders>
            <w:vAlign w:val="center"/>
          </w:tcPr>
          <w:p w14:paraId="7704D0DA">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vAlign w:val="center"/>
          </w:tcPr>
          <w:p w14:paraId="7A1CB96E">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第四次</w:t>
            </w:r>
          </w:p>
        </w:tc>
        <w:tc>
          <w:tcPr>
            <w:tcW w:w="1090" w:type="dxa"/>
            <w:tcBorders>
              <w:top w:val="single" w:color="auto" w:sz="4" w:space="0"/>
              <w:left w:val="single" w:color="auto" w:sz="4" w:space="0"/>
              <w:bottom w:val="single" w:color="auto" w:sz="4" w:space="0"/>
              <w:right w:val="single" w:color="auto" w:sz="4" w:space="0"/>
            </w:tcBorders>
            <w:vAlign w:val="center"/>
          </w:tcPr>
          <w:p w14:paraId="219244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090" w:type="dxa"/>
            <w:tcBorders>
              <w:top w:val="single" w:color="auto" w:sz="4" w:space="0"/>
              <w:left w:val="single" w:color="auto" w:sz="4" w:space="0"/>
              <w:bottom w:val="single" w:color="auto" w:sz="4" w:space="0"/>
              <w:right w:val="single" w:color="auto" w:sz="4" w:space="0"/>
            </w:tcBorders>
            <w:vAlign w:val="center"/>
          </w:tcPr>
          <w:p w14:paraId="036E0A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020" w:type="dxa"/>
            <w:tcBorders>
              <w:top w:val="single" w:color="auto" w:sz="4" w:space="0"/>
              <w:left w:val="single" w:color="auto" w:sz="4" w:space="0"/>
              <w:bottom w:val="single" w:color="auto" w:sz="4" w:space="0"/>
              <w:right w:val="nil"/>
            </w:tcBorders>
            <w:vAlign w:val="center"/>
          </w:tcPr>
          <w:p w14:paraId="1EE512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0" w:type="dxa"/>
            <w:tcBorders>
              <w:top w:val="single" w:color="auto" w:sz="4" w:space="0"/>
              <w:left w:val="single" w:color="auto" w:sz="4" w:space="0"/>
              <w:bottom w:val="single" w:color="auto" w:sz="4" w:space="0"/>
              <w:right w:val="nil"/>
            </w:tcBorders>
            <w:vAlign w:val="center"/>
          </w:tcPr>
          <w:p w14:paraId="1B2CF1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0.528</w:t>
            </w:r>
          </w:p>
        </w:tc>
        <w:tc>
          <w:tcPr>
            <w:tcW w:w="1020" w:type="dxa"/>
            <w:tcBorders>
              <w:top w:val="single" w:color="auto" w:sz="4" w:space="0"/>
              <w:left w:val="single" w:color="auto" w:sz="4" w:space="0"/>
              <w:bottom w:val="single" w:color="auto" w:sz="4" w:space="0"/>
              <w:right w:val="nil"/>
            </w:tcBorders>
            <w:vAlign w:val="center"/>
          </w:tcPr>
          <w:p w14:paraId="734316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0.38</w:t>
            </w:r>
          </w:p>
        </w:tc>
        <w:tc>
          <w:tcPr>
            <w:tcW w:w="1130" w:type="dxa"/>
            <w:tcBorders>
              <w:top w:val="single" w:color="auto" w:sz="4" w:space="0"/>
              <w:left w:val="single" w:color="auto" w:sz="4" w:space="0"/>
              <w:bottom w:val="single" w:color="auto" w:sz="4" w:space="0"/>
              <w:right w:val="nil"/>
            </w:tcBorders>
            <w:vAlign w:val="center"/>
          </w:tcPr>
          <w:p w14:paraId="618E7A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1110" w:type="dxa"/>
            <w:tcBorders>
              <w:top w:val="single" w:color="auto" w:sz="4" w:space="0"/>
              <w:left w:val="single" w:color="auto" w:sz="4" w:space="0"/>
              <w:bottom w:val="single" w:color="auto" w:sz="4" w:space="0"/>
              <w:right w:val="nil"/>
            </w:tcBorders>
            <w:vAlign w:val="center"/>
          </w:tcPr>
          <w:p w14:paraId="00603C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0.56</w:t>
            </w:r>
          </w:p>
        </w:tc>
        <w:tc>
          <w:tcPr>
            <w:tcW w:w="1210" w:type="dxa"/>
            <w:tcBorders>
              <w:top w:val="single" w:color="auto" w:sz="4" w:space="0"/>
              <w:left w:val="single" w:color="auto" w:sz="4" w:space="0"/>
              <w:bottom w:val="single" w:color="auto" w:sz="4" w:space="0"/>
              <w:right w:val="nil"/>
            </w:tcBorders>
            <w:vAlign w:val="center"/>
          </w:tcPr>
          <w:p w14:paraId="17C2CD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1050" w:type="dxa"/>
            <w:tcBorders>
              <w:top w:val="single" w:color="auto" w:sz="4" w:space="0"/>
              <w:left w:val="single" w:color="auto" w:sz="4" w:space="0"/>
              <w:bottom w:val="single" w:color="auto" w:sz="4" w:space="0"/>
              <w:right w:val="nil"/>
            </w:tcBorders>
            <w:vAlign w:val="center"/>
          </w:tcPr>
          <w:p w14:paraId="6B9198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160" w:type="dxa"/>
            <w:tcBorders>
              <w:top w:val="single" w:color="auto" w:sz="4" w:space="0"/>
              <w:left w:val="single" w:color="auto" w:sz="4" w:space="0"/>
              <w:bottom w:val="single" w:color="auto" w:sz="4" w:space="0"/>
              <w:right w:val="nil"/>
            </w:tcBorders>
            <w:vAlign w:val="center"/>
          </w:tcPr>
          <w:p w14:paraId="3CB010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0.2L</w:t>
            </w:r>
          </w:p>
        </w:tc>
        <w:tc>
          <w:tcPr>
            <w:tcW w:w="1160" w:type="dxa"/>
            <w:tcBorders>
              <w:top w:val="single" w:color="auto" w:sz="4" w:space="0"/>
              <w:left w:val="single" w:color="auto" w:sz="4" w:space="0"/>
              <w:bottom w:val="single" w:color="auto" w:sz="4" w:space="0"/>
              <w:right w:val="nil"/>
            </w:tcBorders>
            <w:vAlign w:val="center"/>
          </w:tcPr>
          <w:p w14:paraId="3AAE38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562</w:t>
            </w:r>
          </w:p>
        </w:tc>
      </w:tr>
      <w:tr w14:paraId="375969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93" w:type="dxa"/>
            <w:vMerge w:val="continue"/>
            <w:tcBorders>
              <w:top w:val="single" w:color="auto" w:sz="4" w:space="0"/>
              <w:bottom w:val="single" w:color="auto" w:sz="12" w:space="0"/>
              <w:right w:val="single" w:color="auto" w:sz="4" w:space="0"/>
            </w:tcBorders>
            <w:vAlign w:val="center"/>
          </w:tcPr>
          <w:p w14:paraId="6789FE21">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p>
        </w:tc>
        <w:tc>
          <w:tcPr>
            <w:tcW w:w="670" w:type="dxa"/>
            <w:vMerge w:val="restart"/>
            <w:tcBorders>
              <w:top w:val="single" w:color="auto" w:sz="4" w:space="0"/>
              <w:left w:val="single" w:color="auto" w:sz="4" w:space="0"/>
              <w:bottom w:val="single" w:color="auto" w:sz="12" w:space="0"/>
              <w:right w:val="single" w:color="auto" w:sz="4" w:space="0"/>
            </w:tcBorders>
            <w:vAlign w:val="center"/>
          </w:tcPr>
          <w:p w14:paraId="0B1BA95E">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1</w:t>
            </w:r>
            <w:r>
              <w:rPr>
                <w:rFonts w:hint="default" w:ascii="Times New Roman" w:hAnsi="Times New Roman" w:eastAsia="仿宋" w:cs="Times New Roman"/>
                <w:color w:val="000000" w:themeColor="text1"/>
                <w:sz w:val="21"/>
                <w:szCs w:val="21"/>
                <w:lang w:val="en-US" w:eastAsia="zh-CN"/>
                <w14:textFill>
                  <w14:solidFill>
                    <w14:schemeClr w14:val="tx1"/>
                  </w14:solidFill>
                </w14:textFill>
              </w:rPr>
              <w:t>0</w:t>
            </w:r>
            <w:r>
              <w:rPr>
                <w:rFonts w:hint="default" w:ascii="Times New Roman" w:hAnsi="Times New Roman" w:eastAsia="仿宋" w:cs="Times New Roman"/>
                <w:color w:val="000000" w:themeColor="text1"/>
                <w:sz w:val="21"/>
                <w:szCs w:val="21"/>
                <w14:textFill>
                  <w14:solidFill>
                    <w14:schemeClr w14:val="tx1"/>
                  </w14:solidFill>
                </w14:textFill>
              </w:rPr>
              <w:t>月</w:t>
            </w:r>
            <w:r>
              <w:rPr>
                <w:rFonts w:hint="default" w:ascii="Times New Roman" w:hAnsi="Times New Roman" w:eastAsia="仿宋" w:cs="Times New Roman"/>
                <w:color w:val="000000" w:themeColor="text1"/>
                <w:sz w:val="21"/>
                <w:szCs w:val="21"/>
                <w:lang w:val="en-US" w:eastAsia="zh-CN"/>
                <w14:textFill>
                  <w14:solidFill>
                    <w14:schemeClr w14:val="tx1"/>
                  </w14:solidFill>
                </w14:textFill>
              </w:rPr>
              <w:t>18</w:t>
            </w:r>
            <w:r>
              <w:rPr>
                <w:rFonts w:hint="default" w:ascii="Times New Roman" w:hAnsi="Times New Roman" w:eastAsia="仿宋" w:cs="Times New Roman"/>
                <w:color w:val="000000" w:themeColor="text1"/>
                <w:sz w:val="21"/>
                <w:szCs w:val="21"/>
                <w14:textFill>
                  <w14:solidFill>
                    <w14:schemeClr w14:val="tx1"/>
                  </w14:solidFill>
                </w14:textFill>
              </w:rPr>
              <w:t>日</w:t>
            </w:r>
          </w:p>
        </w:tc>
        <w:tc>
          <w:tcPr>
            <w:tcW w:w="1300" w:type="dxa"/>
            <w:tcBorders>
              <w:top w:val="single" w:color="auto" w:sz="4" w:space="0"/>
              <w:left w:val="single" w:color="auto" w:sz="4" w:space="0"/>
              <w:bottom w:val="single" w:color="auto" w:sz="4" w:space="0"/>
              <w:right w:val="single" w:color="auto" w:sz="4" w:space="0"/>
            </w:tcBorders>
            <w:vAlign w:val="center"/>
          </w:tcPr>
          <w:p w14:paraId="0EB74BE0">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第一次</w:t>
            </w:r>
          </w:p>
        </w:tc>
        <w:tc>
          <w:tcPr>
            <w:tcW w:w="1090" w:type="dxa"/>
            <w:tcBorders>
              <w:top w:val="single" w:color="auto" w:sz="4" w:space="0"/>
              <w:left w:val="single" w:color="auto" w:sz="4" w:space="0"/>
              <w:bottom w:val="single" w:color="auto" w:sz="4" w:space="0"/>
              <w:right w:val="single" w:color="auto" w:sz="4" w:space="0"/>
            </w:tcBorders>
            <w:vAlign w:val="center"/>
          </w:tcPr>
          <w:p w14:paraId="73FCCC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090" w:type="dxa"/>
            <w:tcBorders>
              <w:top w:val="single" w:color="auto" w:sz="4" w:space="0"/>
              <w:left w:val="single" w:color="auto" w:sz="4" w:space="0"/>
              <w:bottom w:val="single" w:color="auto" w:sz="4" w:space="0"/>
              <w:right w:val="single" w:color="auto" w:sz="4" w:space="0"/>
            </w:tcBorders>
            <w:vAlign w:val="center"/>
          </w:tcPr>
          <w:p w14:paraId="46C45D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20" w:type="dxa"/>
            <w:tcBorders>
              <w:top w:val="single" w:color="auto" w:sz="4" w:space="0"/>
              <w:left w:val="single" w:color="auto" w:sz="4" w:space="0"/>
              <w:bottom w:val="single" w:color="auto" w:sz="4" w:space="0"/>
              <w:right w:val="nil"/>
            </w:tcBorders>
            <w:vAlign w:val="center"/>
          </w:tcPr>
          <w:p w14:paraId="6BF742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0" w:type="dxa"/>
            <w:tcBorders>
              <w:top w:val="single" w:color="auto" w:sz="4" w:space="0"/>
              <w:left w:val="single" w:color="auto" w:sz="4" w:space="0"/>
              <w:bottom w:val="single" w:color="auto" w:sz="4" w:space="0"/>
              <w:right w:val="nil"/>
            </w:tcBorders>
            <w:vAlign w:val="center"/>
          </w:tcPr>
          <w:p w14:paraId="2AF949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0.497</w:t>
            </w:r>
          </w:p>
        </w:tc>
        <w:tc>
          <w:tcPr>
            <w:tcW w:w="1020" w:type="dxa"/>
            <w:tcBorders>
              <w:top w:val="single" w:color="auto" w:sz="4" w:space="0"/>
              <w:left w:val="single" w:color="auto" w:sz="4" w:space="0"/>
              <w:bottom w:val="single" w:color="auto" w:sz="4" w:space="0"/>
              <w:right w:val="nil"/>
            </w:tcBorders>
            <w:vAlign w:val="center"/>
          </w:tcPr>
          <w:p w14:paraId="1BBC19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0.36</w:t>
            </w:r>
          </w:p>
        </w:tc>
        <w:tc>
          <w:tcPr>
            <w:tcW w:w="1130" w:type="dxa"/>
            <w:tcBorders>
              <w:top w:val="single" w:color="auto" w:sz="4" w:space="0"/>
              <w:left w:val="single" w:color="auto" w:sz="4" w:space="0"/>
              <w:bottom w:val="single" w:color="auto" w:sz="4" w:space="0"/>
              <w:right w:val="nil"/>
            </w:tcBorders>
            <w:vAlign w:val="center"/>
          </w:tcPr>
          <w:p w14:paraId="298E59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1110" w:type="dxa"/>
            <w:tcBorders>
              <w:top w:val="single" w:color="auto" w:sz="4" w:space="0"/>
              <w:left w:val="single" w:color="auto" w:sz="4" w:space="0"/>
              <w:bottom w:val="single" w:color="auto" w:sz="4" w:space="0"/>
              <w:right w:val="nil"/>
            </w:tcBorders>
            <w:vAlign w:val="center"/>
          </w:tcPr>
          <w:p w14:paraId="3AE445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0.36</w:t>
            </w:r>
          </w:p>
        </w:tc>
        <w:tc>
          <w:tcPr>
            <w:tcW w:w="1210" w:type="dxa"/>
            <w:tcBorders>
              <w:top w:val="single" w:color="auto" w:sz="4" w:space="0"/>
              <w:left w:val="single" w:color="auto" w:sz="4" w:space="0"/>
              <w:bottom w:val="single" w:color="auto" w:sz="4" w:space="0"/>
              <w:right w:val="nil"/>
            </w:tcBorders>
            <w:vAlign w:val="center"/>
          </w:tcPr>
          <w:p w14:paraId="42D480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1050" w:type="dxa"/>
            <w:tcBorders>
              <w:top w:val="single" w:color="auto" w:sz="4" w:space="0"/>
              <w:left w:val="single" w:color="auto" w:sz="4" w:space="0"/>
              <w:bottom w:val="single" w:color="auto" w:sz="4" w:space="0"/>
              <w:right w:val="nil"/>
            </w:tcBorders>
            <w:vAlign w:val="center"/>
          </w:tcPr>
          <w:p w14:paraId="1C53B6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r>
              <w:rPr>
                <w:rFonts w:hint="default" w:ascii="Times New Roman" w:hAnsi="Times New Roman" w:cs="Times New Roman"/>
                <w:i w:val="0"/>
                <w:iCs w:val="0"/>
                <w:color w:val="000000"/>
                <w:kern w:val="0"/>
                <w:sz w:val="21"/>
                <w:szCs w:val="21"/>
                <w:u w:val="none"/>
                <w:lang w:val="en-US" w:eastAsia="zh-CN" w:bidi="ar"/>
              </w:rPr>
              <w:t>.0</w:t>
            </w:r>
          </w:p>
        </w:tc>
        <w:tc>
          <w:tcPr>
            <w:tcW w:w="1160" w:type="dxa"/>
            <w:tcBorders>
              <w:top w:val="single" w:color="auto" w:sz="4" w:space="0"/>
              <w:left w:val="single" w:color="auto" w:sz="4" w:space="0"/>
              <w:bottom w:val="single" w:color="auto" w:sz="4" w:space="0"/>
              <w:right w:val="nil"/>
            </w:tcBorders>
            <w:vAlign w:val="center"/>
          </w:tcPr>
          <w:p w14:paraId="54C6A6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0.2L</w:t>
            </w:r>
          </w:p>
        </w:tc>
        <w:tc>
          <w:tcPr>
            <w:tcW w:w="1160" w:type="dxa"/>
            <w:tcBorders>
              <w:top w:val="single" w:color="auto" w:sz="4" w:space="0"/>
              <w:left w:val="single" w:color="auto" w:sz="4" w:space="0"/>
              <w:bottom w:val="single" w:color="auto" w:sz="4" w:space="0"/>
              <w:right w:val="nil"/>
            </w:tcBorders>
            <w:vAlign w:val="center"/>
          </w:tcPr>
          <w:p w14:paraId="795636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558</w:t>
            </w:r>
          </w:p>
        </w:tc>
      </w:tr>
      <w:tr w14:paraId="67EED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93" w:type="dxa"/>
            <w:vMerge w:val="continue"/>
            <w:tcBorders>
              <w:top w:val="single" w:color="auto" w:sz="4" w:space="0"/>
              <w:bottom w:val="single" w:color="auto" w:sz="12" w:space="0"/>
              <w:right w:val="single" w:color="auto" w:sz="4" w:space="0"/>
            </w:tcBorders>
            <w:vAlign w:val="center"/>
          </w:tcPr>
          <w:p w14:paraId="74760A23">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p>
        </w:tc>
        <w:tc>
          <w:tcPr>
            <w:tcW w:w="670" w:type="dxa"/>
            <w:vMerge w:val="continue"/>
            <w:tcBorders>
              <w:top w:val="single" w:color="auto" w:sz="4" w:space="0"/>
              <w:left w:val="single" w:color="auto" w:sz="4" w:space="0"/>
              <w:bottom w:val="single" w:color="auto" w:sz="12" w:space="0"/>
              <w:right w:val="single" w:color="auto" w:sz="4" w:space="0"/>
            </w:tcBorders>
            <w:vAlign w:val="center"/>
          </w:tcPr>
          <w:p w14:paraId="3EA3EC30">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vAlign w:val="center"/>
          </w:tcPr>
          <w:p w14:paraId="5F9AB7FA">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第二次</w:t>
            </w:r>
          </w:p>
        </w:tc>
        <w:tc>
          <w:tcPr>
            <w:tcW w:w="1090" w:type="dxa"/>
            <w:tcBorders>
              <w:top w:val="single" w:color="auto" w:sz="4" w:space="0"/>
              <w:left w:val="single" w:color="auto" w:sz="4" w:space="0"/>
              <w:bottom w:val="single" w:color="auto" w:sz="4" w:space="0"/>
              <w:right w:val="single" w:color="auto" w:sz="4" w:space="0"/>
            </w:tcBorders>
            <w:vAlign w:val="center"/>
          </w:tcPr>
          <w:p w14:paraId="5C3282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090" w:type="dxa"/>
            <w:tcBorders>
              <w:top w:val="single" w:color="auto" w:sz="4" w:space="0"/>
              <w:left w:val="single" w:color="auto" w:sz="4" w:space="0"/>
              <w:bottom w:val="single" w:color="auto" w:sz="4" w:space="0"/>
              <w:right w:val="single" w:color="auto" w:sz="4" w:space="0"/>
            </w:tcBorders>
            <w:vAlign w:val="center"/>
          </w:tcPr>
          <w:p w14:paraId="496AD4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020" w:type="dxa"/>
            <w:tcBorders>
              <w:top w:val="single" w:color="auto" w:sz="4" w:space="0"/>
              <w:left w:val="single" w:color="auto" w:sz="4" w:space="0"/>
              <w:bottom w:val="single" w:color="auto" w:sz="4" w:space="0"/>
              <w:right w:val="nil"/>
            </w:tcBorders>
            <w:vAlign w:val="center"/>
          </w:tcPr>
          <w:p w14:paraId="4992C4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0" w:type="dxa"/>
            <w:tcBorders>
              <w:top w:val="single" w:color="auto" w:sz="4" w:space="0"/>
              <w:left w:val="single" w:color="auto" w:sz="4" w:space="0"/>
              <w:bottom w:val="single" w:color="auto" w:sz="4" w:space="0"/>
              <w:right w:val="nil"/>
            </w:tcBorders>
            <w:vAlign w:val="center"/>
          </w:tcPr>
          <w:p w14:paraId="03B8B4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0.468</w:t>
            </w:r>
          </w:p>
        </w:tc>
        <w:tc>
          <w:tcPr>
            <w:tcW w:w="1020" w:type="dxa"/>
            <w:tcBorders>
              <w:top w:val="single" w:color="auto" w:sz="4" w:space="0"/>
              <w:left w:val="single" w:color="auto" w:sz="4" w:space="0"/>
              <w:bottom w:val="single" w:color="auto" w:sz="4" w:space="0"/>
              <w:right w:val="nil"/>
            </w:tcBorders>
            <w:vAlign w:val="center"/>
          </w:tcPr>
          <w:p w14:paraId="7E9B23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0.38</w:t>
            </w:r>
          </w:p>
        </w:tc>
        <w:tc>
          <w:tcPr>
            <w:tcW w:w="1130" w:type="dxa"/>
            <w:tcBorders>
              <w:top w:val="single" w:color="auto" w:sz="4" w:space="0"/>
              <w:left w:val="single" w:color="auto" w:sz="4" w:space="0"/>
              <w:bottom w:val="single" w:color="auto" w:sz="4" w:space="0"/>
              <w:right w:val="nil"/>
            </w:tcBorders>
            <w:vAlign w:val="center"/>
          </w:tcPr>
          <w:p w14:paraId="6C8C1D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w:t>
            </w:r>
            <w:r>
              <w:rPr>
                <w:rFonts w:hint="default" w:ascii="Times New Roman" w:hAnsi="Times New Roman" w:cs="Times New Roman"/>
                <w:i w:val="0"/>
                <w:iCs w:val="0"/>
                <w:color w:val="000000"/>
                <w:kern w:val="0"/>
                <w:sz w:val="21"/>
                <w:szCs w:val="21"/>
                <w:u w:val="none"/>
                <w:lang w:val="en-US" w:eastAsia="zh-CN" w:bidi="ar"/>
              </w:rPr>
              <w:t>.0</w:t>
            </w:r>
          </w:p>
        </w:tc>
        <w:tc>
          <w:tcPr>
            <w:tcW w:w="1110" w:type="dxa"/>
            <w:tcBorders>
              <w:top w:val="single" w:color="auto" w:sz="4" w:space="0"/>
              <w:left w:val="single" w:color="auto" w:sz="4" w:space="0"/>
              <w:bottom w:val="single" w:color="auto" w:sz="4" w:space="0"/>
              <w:right w:val="nil"/>
            </w:tcBorders>
            <w:vAlign w:val="center"/>
          </w:tcPr>
          <w:p w14:paraId="6B1DF9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0.35</w:t>
            </w:r>
          </w:p>
        </w:tc>
        <w:tc>
          <w:tcPr>
            <w:tcW w:w="1210" w:type="dxa"/>
            <w:tcBorders>
              <w:top w:val="single" w:color="auto" w:sz="4" w:space="0"/>
              <w:left w:val="single" w:color="auto" w:sz="4" w:space="0"/>
              <w:bottom w:val="single" w:color="auto" w:sz="4" w:space="0"/>
              <w:right w:val="nil"/>
            </w:tcBorders>
            <w:vAlign w:val="center"/>
          </w:tcPr>
          <w:p w14:paraId="3546D4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1050" w:type="dxa"/>
            <w:tcBorders>
              <w:top w:val="single" w:color="auto" w:sz="4" w:space="0"/>
              <w:left w:val="single" w:color="auto" w:sz="4" w:space="0"/>
              <w:bottom w:val="single" w:color="auto" w:sz="4" w:space="0"/>
              <w:right w:val="nil"/>
            </w:tcBorders>
            <w:vAlign w:val="center"/>
          </w:tcPr>
          <w:p w14:paraId="542F80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1160" w:type="dxa"/>
            <w:tcBorders>
              <w:top w:val="single" w:color="auto" w:sz="4" w:space="0"/>
              <w:left w:val="single" w:color="auto" w:sz="4" w:space="0"/>
              <w:bottom w:val="single" w:color="auto" w:sz="4" w:space="0"/>
              <w:right w:val="nil"/>
            </w:tcBorders>
            <w:vAlign w:val="center"/>
          </w:tcPr>
          <w:p w14:paraId="4BA011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0.2L</w:t>
            </w:r>
          </w:p>
        </w:tc>
        <w:tc>
          <w:tcPr>
            <w:tcW w:w="1160" w:type="dxa"/>
            <w:tcBorders>
              <w:top w:val="single" w:color="auto" w:sz="4" w:space="0"/>
              <w:left w:val="single" w:color="auto" w:sz="4" w:space="0"/>
              <w:bottom w:val="single" w:color="auto" w:sz="4" w:space="0"/>
              <w:right w:val="nil"/>
            </w:tcBorders>
            <w:vAlign w:val="center"/>
          </w:tcPr>
          <w:p w14:paraId="4D8A51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510</w:t>
            </w:r>
          </w:p>
        </w:tc>
      </w:tr>
      <w:tr w14:paraId="7E6BD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93" w:type="dxa"/>
            <w:vMerge w:val="continue"/>
            <w:tcBorders>
              <w:top w:val="single" w:color="auto" w:sz="4" w:space="0"/>
              <w:bottom w:val="single" w:color="auto" w:sz="12" w:space="0"/>
              <w:right w:val="single" w:color="auto" w:sz="4" w:space="0"/>
            </w:tcBorders>
            <w:vAlign w:val="center"/>
          </w:tcPr>
          <w:p w14:paraId="28CE4A71">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p>
        </w:tc>
        <w:tc>
          <w:tcPr>
            <w:tcW w:w="670" w:type="dxa"/>
            <w:vMerge w:val="continue"/>
            <w:tcBorders>
              <w:top w:val="single" w:color="auto" w:sz="4" w:space="0"/>
              <w:left w:val="single" w:color="auto" w:sz="4" w:space="0"/>
              <w:bottom w:val="single" w:color="auto" w:sz="12" w:space="0"/>
              <w:right w:val="single" w:color="auto" w:sz="4" w:space="0"/>
            </w:tcBorders>
            <w:vAlign w:val="center"/>
          </w:tcPr>
          <w:p w14:paraId="0211CBAB">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vAlign w:val="center"/>
          </w:tcPr>
          <w:p w14:paraId="6EE77BD8">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第三次</w:t>
            </w:r>
          </w:p>
        </w:tc>
        <w:tc>
          <w:tcPr>
            <w:tcW w:w="1090" w:type="dxa"/>
            <w:tcBorders>
              <w:top w:val="single" w:color="auto" w:sz="4" w:space="0"/>
              <w:left w:val="single" w:color="auto" w:sz="4" w:space="0"/>
              <w:bottom w:val="single" w:color="auto" w:sz="4" w:space="0"/>
              <w:right w:val="single" w:color="auto" w:sz="4" w:space="0"/>
            </w:tcBorders>
            <w:vAlign w:val="center"/>
          </w:tcPr>
          <w:p w14:paraId="699D93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1090" w:type="dxa"/>
            <w:tcBorders>
              <w:top w:val="single" w:color="auto" w:sz="4" w:space="0"/>
              <w:left w:val="single" w:color="auto" w:sz="4" w:space="0"/>
              <w:bottom w:val="single" w:color="auto" w:sz="4" w:space="0"/>
              <w:right w:val="single" w:color="auto" w:sz="4" w:space="0"/>
            </w:tcBorders>
            <w:vAlign w:val="center"/>
          </w:tcPr>
          <w:p w14:paraId="20FA12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020" w:type="dxa"/>
            <w:tcBorders>
              <w:top w:val="single" w:color="auto" w:sz="4" w:space="0"/>
              <w:left w:val="single" w:color="auto" w:sz="4" w:space="0"/>
              <w:bottom w:val="single" w:color="auto" w:sz="4" w:space="0"/>
              <w:right w:val="nil"/>
            </w:tcBorders>
            <w:vAlign w:val="center"/>
          </w:tcPr>
          <w:p w14:paraId="2EF688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0" w:type="dxa"/>
            <w:tcBorders>
              <w:top w:val="single" w:color="auto" w:sz="4" w:space="0"/>
              <w:left w:val="single" w:color="auto" w:sz="4" w:space="0"/>
              <w:bottom w:val="single" w:color="auto" w:sz="4" w:space="0"/>
              <w:right w:val="nil"/>
            </w:tcBorders>
            <w:vAlign w:val="center"/>
          </w:tcPr>
          <w:p w14:paraId="5CCEC3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0.49</w:t>
            </w:r>
            <w:r>
              <w:rPr>
                <w:rFonts w:hint="default" w:ascii="Times New Roman" w:hAnsi="Times New Roman" w:cs="Times New Roman"/>
                <w:i w:val="0"/>
                <w:iCs w:val="0"/>
                <w:color w:val="000000"/>
                <w:kern w:val="0"/>
                <w:sz w:val="21"/>
                <w:szCs w:val="21"/>
                <w:u w:val="none"/>
                <w:lang w:val="en-US" w:eastAsia="zh-CN" w:bidi="ar"/>
              </w:rPr>
              <w:t>0</w:t>
            </w:r>
          </w:p>
        </w:tc>
        <w:tc>
          <w:tcPr>
            <w:tcW w:w="1020" w:type="dxa"/>
            <w:tcBorders>
              <w:top w:val="single" w:color="auto" w:sz="4" w:space="0"/>
              <w:left w:val="single" w:color="auto" w:sz="4" w:space="0"/>
              <w:bottom w:val="single" w:color="auto" w:sz="4" w:space="0"/>
              <w:right w:val="nil"/>
            </w:tcBorders>
            <w:vAlign w:val="center"/>
          </w:tcPr>
          <w:p w14:paraId="27AF99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0.41</w:t>
            </w:r>
          </w:p>
        </w:tc>
        <w:tc>
          <w:tcPr>
            <w:tcW w:w="1130" w:type="dxa"/>
            <w:tcBorders>
              <w:top w:val="single" w:color="auto" w:sz="4" w:space="0"/>
              <w:left w:val="single" w:color="auto" w:sz="4" w:space="0"/>
              <w:bottom w:val="single" w:color="auto" w:sz="4" w:space="0"/>
              <w:right w:val="nil"/>
            </w:tcBorders>
            <w:vAlign w:val="center"/>
          </w:tcPr>
          <w:p w14:paraId="55FED0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1110" w:type="dxa"/>
            <w:tcBorders>
              <w:top w:val="single" w:color="auto" w:sz="4" w:space="0"/>
              <w:left w:val="single" w:color="auto" w:sz="4" w:space="0"/>
              <w:bottom w:val="single" w:color="auto" w:sz="4" w:space="0"/>
              <w:right w:val="nil"/>
            </w:tcBorders>
            <w:vAlign w:val="center"/>
          </w:tcPr>
          <w:p w14:paraId="66BFA6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0.34</w:t>
            </w:r>
          </w:p>
        </w:tc>
        <w:tc>
          <w:tcPr>
            <w:tcW w:w="1210" w:type="dxa"/>
            <w:tcBorders>
              <w:top w:val="single" w:color="auto" w:sz="4" w:space="0"/>
              <w:left w:val="single" w:color="auto" w:sz="4" w:space="0"/>
              <w:bottom w:val="single" w:color="auto" w:sz="4" w:space="0"/>
              <w:right w:val="nil"/>
            </w:tcBorders>
            <w:vAlign w:val="center"/>
          </w:tcPr>
          <w:p w14:paraId="54C8BE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1050" w:type="dxa"/>
            <w:tcBorders>
              <w:top w:val="single" w:color="auto" w:sz="4" w:space="0"/>
              <w:left w:val="single" w:color="auto" w:sz="4" w:space="0"/>
              <w:bottom w:val="single" w:color="auto" w:sz="4" w:space="0"/>
              <w:right w:val="nil"/>
            </w:tcBorders>
            <w:vAlign w:val="center"/>
          </w:tcPr>
          <w:p w14:paraId="4F7BFF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r>
              <w:rPr>
                <w:rFonts w:hint="default" w:ascii="Times New Roman" w:hAnsi="Times New Roman" w:cs="Times New Roman"/>
                <w:i w:val="0"/>
                <w:iCs w:val="0"/>
                <w:color w:val="000000"/>
                <w:kern w:val="0"/>
                <w:sz w:val="21"/>
                <w:szCs w:val="21"/>
                <w:u w:val="none"/>
                <w:lang w:val="en-US" w:eastAsia="zh-CN" w:bidi="ar"/>
              </w:rPr>
              <w:t>.0</w:t>
            </w:r>
          </w:p>
        </w:tc>
        <w:tc>
          <w:tcPr>
            <w:tcW w:w="1160" w:type="dxa"/>
            <w:tcBorders>
              <w:top w:val="single" w:color="auto" w:sz="4" w:space="0"/>
              <w:left w:val="single" w:color="auto" w:sz="4" w:space="0"/>
              <w:bottom w:val="single" w:color="auto" w:sz="4" w:space="0"/>
              <w:right w:val="nil"/>
            </w:tcBorders>
            <w:vAlign w:val="center"/>
          </w:tcPr>
          <w:p w14:paraId="513874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0.2L</w:t>
            </w:r>
          </w:p>
        </w:tc>
        <w:tc>
          <w:tcPr>
            <w:tcW w:w="1160" w:type="dxa"/>
            <w:tcBorders>
              <w:top w:val="single" w:color="auto" w:sz="4" w:space="0"/>
              <w:left w:val="single" w:color="auto" w:sz="4" w:space="0"/>
              <w:bottom w:val="single" w:color="auto" w:sz="4" w:space="0"/>
              <w:right w:val="nil"/>
            </w:tcBorders>
            <w:vAlign w:val="center"/>
          </w:tcPr>
          <w:p w14:paraId="002BC2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530</w:t>
            </w:r>
          </w:p>
        </w:tc>
      </w:tr>
      <w:tr w14:paraId="3AEC9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93" w:type="dxa"/>
            <w:vMerge w:val="continue"/>
            <w:tcBorders>
              <w:top w:val="single" w:color="auto" w:sz="4" w:space="0"/>
              <w:bottom w:val="single" w:color="auto" w:sz="12" w:space="0"/>
              <w:right w:val="single" w:color="auto" w:sz="4" w:space="0"/>
            </w:tcBorders>
            <w:vAlign w:val="center"/>
          </w:tcPr>
          <w:p w14:paraId="25244233">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p>
        </w:tc>
        <w:tc>
          <w:tcPr>
            <w:tcW w:w="670" w:type="dxa"/>
            <w:vMerge w:val="continue"/>
            <w:tcBorders>
              <w:top w:val="single" w:color="auto" w:sz="4" w:space="0"/>
              <w:left w:val="single" w:color="auto" w:sz="4" w:space="0"/>
              <w:bottom w:val="single" w:color="auto" w:sz="12" w:space="0"/>
              <w:right w:val="single" w:color="auto" w:sz="4" w:space="0"/>
            </w:tcBorders>
            <w:vAlign w:val="center"/>
          </w:tcPr>
          <w:p w14:paraId="38690D05">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vAlign w:val="center"/>
          </w:tcPr>
          <w:p w14:paraId="66AF6CED">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第四次</w:t>
            </w:r>
          </w:p>
        </w:tc>
        <w:tc>
          <w:tcPr>
            <w:tcW w:w="1090" w:type="dxa"/>
            <w:tcBorders>
              <w:top w:val="single" w:color="auto" w:sz="4" w:space="0"/>
              <w:left w:val="single" w:color="auto" w:sz="4" w:space="0"/>
              <w:bottom w:val="single" w:color="auto" w:sz="4" w:space="0"/>
              <w:right w:val="single" w:color="auto" w:sz="4" w:space="0"/>
            </w:tcBorders>
            <w:vAlign w:val="center"/>
          </w:tcPr>
          <w:p w14:paraId="402C25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090" w:type="dxa"/>
            <w:tcBorders>
              <w:top w:val="single" w:color="auto" w:sz="4" w:space="0"/>
              <w:left w:val="single" w:color="auto" w:sz="4" w:space="0"/>
              <w:bottom w:val="single" w:color="auto" w:sz="4" w:space="0"/>
              <w:right w:val="single" w:color="auto" w:sz="4" w:space="0"/>
            </w:tcBorders>
            <w:vAlign w:val="center"/>
          </w:tcPr>
          <w:p w14:paraId="2A3853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1020" w:type="dxa"/>
            <w:tcBorders>
              <w:top w:val="single" w:color="auto" w:sz="4" w:space="0"/>
              <w:left w:val="single" w:color="auto" w:sz="4" w:space="0"/>
              <w:bottom w:val="single" w:color="auto" w:sz="4" w:space="0"/>
              <w:right w:val="nil"/>
            </w:tcBorders>
            <w:vAlign w:val="center"/>
          </w:tcPr>
          <w:p w14:paraId="1BDD41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0" w:type="dxa"/>
            <w:tcBorders>
              <w:top w:val="single" w:color="auto" w:sz="4" w:space="0"/>
              <w:left w:val="single" w:color="auto" w:sz="4" w:space="0"/>
              <w:bottom w:val="single" w:color="auto" w:sz="4" w:space="0"/>
              <w:right w:val="nil"/>
            </w:tcBorders>
            <w:vAlign w:val="center"/>
          </w:tcPr>
          <w:p w14:paraId="3F836A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w:t>
            </w:r>
            <w:r>
              <w:rPr>
                <w:rFonts w:hint="default" w:ascii="Times New Roman" w:hAnsi="Times New Roman" w:cs="Times New Roman"/>
                <w:i w:val="0"/>
                <w:iCs w:val="0"/>
                <w:color w:val="000000"/>
                <w:kern w:val="0"/>
                <w:sz w:val="21"/>
                <w:szCs w:val="21"/>
                <w:u w:val="none"/>
                <w:lang w:val="en-US" w:eastAsia="zh-CN" w:bidi="ar"/>
              </w:rPr>
              <w:t>00</w:t>
            </w:r>
          </w:p>
        </w:tc>
        <w:tc>
          <w:tcPr>
            <w:tcW w:w="1020" w:type="dxa"/>
            <w:tcBorders>
              <w:top w:val="single" w:color="auto" w:sz="4" w:space="0"/>
              <w:left w:val="single" w:color="auto" w:sz="4" w:space="0"/>
              <w:bottom w:val="single" w:color="auto" w:sz="4" w:space="0"/>
              <w:right w:val="nil"/>
            </w:tcBorders>
            <w:vAlign w:val="center"/>
          </w:tcPr>
          <w:p w14:paraId="559045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0.38</w:t>
            </w:r>
          </w:p>
        </w:tc>
        <w:tc>
          <w:tcPr>
            <w:tcW w:w="1130" w:type="dxa"/>
            <w:tcBorders>
              <w:top w:val="single" w:color="auto" w:sz="4" w:space="0"/>
              <w:left w:val="single" w:color="auto" w:sz="4" w:space="0"/>
              <w:bottom w:val="single" w:color="auto" w:sz="4" w:space="0"/>
              <w:right w:val="nil"/>
            </w:tcBorders>
            <w:vAlign w:val="center"/>
          </w:tcPr>
          <w:p w14:paraId="3CD76E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1110" w:type="dxa"/>
            <w:tcBorders>
              <w:top w:val="single" w:color="auto" w:sz="4" w:space="0"/>
              <w:left w:val="single" w:color="auto" w:sz="4" w:space="0"/>
              <w:bottom w:val="single" w:color="auto" w:sz="4" w:space="0"/>
              <w:right w:val="nil"/>
            </w:tcBorders>
            <w:vAlign w:val="center"/>
          </w:tcPr>
          <w:p w14:paraId="0A6ECC7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0.35</w:t>
            </w:r>
          </w:p>
        </w:tc>
        <w:tc>
          <w:tcPr>
            <w:tcW w:w="1210" w:type="dxa"/>
            <w:tcBorders>
              <w:top w:val="single" w:color="auto" w:sz="4" w:space="0"/>
              <w:left w:val="single" w:color="auto" w:sz="4" w:space="0"/>
              <w:bottom w:val="single" w:color="auto" w:sz="4" w:space="0"/>
              <w:right w:val="nil"/>
            </w:tcBorders>
            <w:vAlign w:val="center"/>
          </w:tcPr>
          <w:p w14:paraId="799FE5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0.33</w:t>
            </w:r>
          </w:p>
        </w:tc>
        <w:tc>
          <w:tcPr>
            <w:tcW w:w="1050" w:type="dxa"/>
            <w:tcBorders>
              <w:top w:val="single" w:color="auto" w:sz="4" w:space="0"/>
              <w:left w:val="single" w:color="auto" w:sz="4" w:space="0"/>
              <w:bottom w:val="single" w:color="auto" w:sz="4" w:space="0"/>
              <w:right w:val="nil"/>
            </w:tcBorders>
            <w:vAlign w:val="center"/>
          </w:tcPr>
          <w:p w14:paraId="33E1BA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160" w:type="dxa"/>
            <w:tcBorders>
              <w:top w:val="single" w:color="auto" w:sz="4" w:space="0"/>
              <w:left w:val="single" w:color="auto" w:sz="4" w:space="0"/>
              <w:bottom w:val="single" w:color="auto" w:sz="4" w:space="0"/>
              <w:right w:val="nil"/>
            </w:tcBorders>
            <w:vAlign w:val="center"/>
          </w:tcPr>
          <w:p w14:paraId="2342EB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0.2L</w:t>
            </w:r>
          </w:p>
        </w:tc>
        <w:tc>
          <w:tcPr>
            <w:tcW w:w="1160" w:type="dxa"/>
            <w:tcBorders>
              <w:top w:val="single" w:color="auto" w:sz="4" w:space="0"/>
              <w:left w:val="single" w:color="auto" w:sz="4" w:space="0"/>
              <w:bottom w:val="single" w:color="auto" w:sz="4" w:space="0"/>
              <w:right w:val="nil"/>
            </w:tcBorders>
            <w:vAlign w:val="center"/>
          </w:tcPr>
          <w:p w14:paraId="5AA09A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528</w:t>
            </w:r>
          </w:p>
        </w:tc>
      </w:tr>
      <w:tr w14:paraId="075848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exact"/>
        </w:trPr>
        <w:tc>
          <w:tcPr>
            <w:tcW w:w="793" w:type="dxa"/>
            <w:vMerge w:val="continue"/>
            <w:tcBorders>
              <w:top w:val="single" w:color="auto" w:sz="4" w:space="0"/>
              <w:bottom w:val="single" w:color="auto" w:sz="4" w:space="0"/>
              <w:right w:val="single" w:color="auto" w:sz="4" w:space="0"/>
            </w:tcBorders>
            <w:vAlign w:val="center"/>
          </w:tcPr>
          <w:p w14:paraId="0271257A">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p>
        </w:tc>
        <w:tc>
          <w:tcPr>
            <w:tcW w:w="670" w:type="dxa"/>
            <w:vMerge w:val="continue"/>
            <w:tcBorders>
              <w:top w:val="single" w:color="auto" w:sz="4" w:space="0"/>
              <w:left w:val="single" w:color="auto" w:sz="4" w:space="0"/>
              <w:bottom w:val="single" w:color="auto" w:sz="4" w:space="0"/>
              <w:right w:val="single" w:color="auto" w:sz="4" w:space="0"/>
            </w:tcBorders>
            <w:vAlign w:val="center"/>
          </w:tcPr>
          <w:p w14:paraId="77CD6F08">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vAlign w:val="center"/>
          </w:tcPr>
          <w:p w14:paraId="4CB898B4">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均值/范围</w:t>
            </w:r>
          </w:p>
        </w:tc>
        <w:tc>
          <w:tcPr>
            <w:tcW w:w="1090" w:type="dxa"/>
            <w:tcBorders>
              <w:top w:val="single" w:color="auto" w:sz="4" w:space="0"/>
              <w:left w:val="single" w:color="auto" w:sz="4" w:space="0"/>
              <w:bottom w:val="single" w:color="auto" w:sz="4" w:space="0"/>
              <w:right w:val="single" w:color="auto" w:sz="4" w:space="0"/>
            </w:tcBorders>
            <w:vAlign w:val="center"/>
          </w:tcPr>
          <w:p w14:paraId="32857029">
            <w:pPr>
              <w:widowControl/>
              <w:spacing w:line="240" w:lineRule="auto"/>
              <w:ind w:firstLine="0" w:firstLineChars="0"/>
              <w:jc w:val="center"/>
              <w:textAlignment w:val="bottom"/>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7.1-7.5</w:t>
            </w:r>
          </w:p>
        </w:tc>
        <w:tc>
          <w:tcPr>
            <w:tcW w:w="1090" w:type="dxa"/>
            <w:tcBorders>
              <w:top w:val="single" w:color="auto" w:sz="4" w:space="0"/>
              <w:left w:val="single" w:color="auto" w:sz="4" w:space="0"/>
              <w:bottom w:val="single" w:color="auto" w:sz="4" w:space="0"/>
              <w:right w:val="single" w:color="auto" w:sz="4" w:space="0"/>
            </w:tcBorders>
            <w:vAlign w:val="center"/>
          </w:tcPr>
          <w:p w14:paraId="0416CA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020" w:type="dxa"/>
            <w:tcBorders>
              <w:top w:val="single" w:color="auto" w:sz="4" w:space="0"/>
              <w:left w:val="single" w:color="auto" w:sz="4" w:space="0"/>
              <w:bottom w:val="single" w:color="auto" w:sz="4" w:space="0"/>
              <w:right w:val="nil"/>
            </w:tcBorders>
            <w:vAlign w:val="center"/>
          </w:tcPr>
          <w:p w14:paraId="142230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0" w:type="dxa"/>
            <w:tcBorders>
              <w:top w:val="single" w:color="auto" w:sz="4" w:space="0"/>
              <w:left w:val="single" w:color="auto" w:sz="4" w:space="0"/>
              <w:bottom w:val="single" w:color="auto" w:sz="4" w:space="0"/>
              <w:right w:val="nil"/>
            </w:tcBorders>
            <w:vAlign w:val="center"/>
          </w:tcPr>
          <w:p w14:paraId="0E7FB3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0.476</w:t>
            </w:r>
          </w:p>
        </w:tc>
        <w:tc>
          <w:tcPr>
            <w:tcW w:w="1020" w:type="dxa"/>
            <w:tcBorders>
              <w:top w:val="single" w:color="auto" w:sz="4" w:space="0"/>
              <w:left w:val="single" w:color="auto" w:sz="4" w:space="0"/>
              <w:bottom w:val="single" w:color="auto" w:sz="4" w:space="0"/>
              <w:right w:val="nil"/>
            </w:tcBorders>
            <w:vAlign w:val="center"/>
          </w:tcPr>
          <w:p w14:paraId="1D618B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0.39</w:t>
            </w:r>
          </w:p>
        </w:tc>
        <w:tc>
          <w:tcPr>
            <w:tcW w:w="1130" w:type="dxa"/>
            <w:tcBorders>
              <w:top w:val="single" w:color="auto" w:sz="4" w:space="0"/>
              <w:left w:val="single" w:color="auto" w:sz="4" w:space="0"/>
              <w:bottom w:val="single" w:color="auto" w:sz="4" w:space="0"/>
              <w:right w:val="nil"/>
            </w:tcBorders>
            <w:vAlign w:val="center"/>
          </w:tcPr>
          <w:p w14:paraId="7C9DA2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1110" w:type="dxa"/>
            <w:tcBorders>
              <w:top w:val="single" w:color="auto" w:sz="4" w:space="0"/>
              <w:left w:val="single" w:color="auto" w:sz="4" w:space="0"/>
              <w:bottom w:val="single" w:color="auto" w:sz="4" w:space="0"/>
              <w:right w:val="nil"/>
            </w:tcBorders>
            <w:vAlign w:val="center"/>
          </w:tcPr>
          <w:p w14:paraId="117792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0.43</w:t>
            </w:r>
          </w:p>
        </w:tc>
        <w:tc>
          <w:tcPr>
            <w:tcW w:w="1210" w:type="dxa"/>
            <w:tcBorders>
              <w:top w:val="single" w:color="auto" w:sz="4" w:space="0"/>
              <w:left w:val="single" w:color="auto" w:sz="4" w:space="0"/>
              <w:bottom w:val="single" w:color="auto" w:sz="4" w:space="0"/>
              <w:right w:val="nil"/>
            </w:tcBorders>
            <w:vAlign w:val="center"/>
          </w:tcPr>
          <w:p w14:paraId="6D9674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1050" w:type="dxa"/>
            <w:tcBorders>
              <w:top w:val="single" w:color="auto" w:sz="4" w:space="0"/>
              <w:left w:val="single" w:color="auto" w:sz="4" w:space="0"/>
              <w:bottom w:val="single" w:color="auto" w:sz="4" w:space="0"/>
              <w:right w:val="nil"/>
            </w:tcBorders>
            <w:vAlign w:val="center"/>
          </w:tcPr>
          <w:p w14:paraId="165436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1160" w:type="dxa"/>
            <w:tcBorders>
              <w:top w:val="single" w:color="auto" w:sz="4" w:space="0"/>
              <w:left w:val="single" w:color="auto" w:sz="4" w:space="0"/>
              <w:bottom w:val="single" w:color="auto" w:sz="4" w:space="0"/>
              <w:right w:val="nil"/>
            </w:tcBorders>
            <w:vAlign w:val="center"/>
          </w:tcPr>
          <w:p w14:paraId="6E3DB2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60" w:type="dxa"/>
            <w:tcBorders>
              <w:top w:val="single" w:color="auto" w:sz="4" w:space="0"/>
              <w:left w:val="single" w:color="auto" w:sz="4" w:space="0"/>
              <w:bottom w:val="single" w:color="auto" w:sz="4" w:space="0"/>
              <w:right w:val="nil"/>
            </w:tcBorders>
            <w:vAlign w:val="center"/>
          </w:tcPr>
          <w:p w14:paraId="2C2081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550</w:t>
            </w:r>
          </w:p>
        </w:tc>
      </w:tr>
      <w:tr w14:paraId="071FA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2763" w:type="dxa"/>
            <w:gridSpan w:val="3"/>
            <w:tcBorders>
              <w:top w:val="single" w:color="auto" w:sz="4" w:space="0"/>
              <w:bottom w:val="single" w:color="auto" w:sz="4" w:space="0"/>
              <w:right w:val="single" w:color="auto" w:sz="4" w:space="0"/>
            </w:tcBorders>
            <w:vAlign w:val="center"/>
          </w:tcPr>
          <w:p w14:paraId="58E5E963">
            <w:pPr>
              <w:spacing w:line="320" w:lineRule="exact"/>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执行标准</w:t>
            </w:r>
          </w:p>
        </w:tc>
        <w:tc>
          <w:tcPr>
            <w:tcW w:w="1090" w:type="dxa"/>
            <w:tcBorders>
              <w:top w:val="single" w:color="auto" w:sz="4" w:space="0"/>
              <w:left w:val="single" w:color="auto" w:sz="4" w:space="0"/>
              <w:bottom w:val="single" w:color="auto" w:sz="4" w:space="0"/>
              <w:right w:val="single" w:color="auto" w:sz="4" w:space="0"/>
            </w:tcBorders>
            <w:vAlign w:val="center"/>
          </w:tcPr>
          <w:p w14:paraId="7FAE5587">
            <w:pPr>
              <w:spacing w:line="320" w:lineRule="exact"/>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6-9</w:t>
            </w:r>
          </w:p>
        </w:tc>
        <w:tc>
          <w:tcPr>
            <w:tcW w:w="1090" w:type="dxa"/>
            <w:tcBorders>
              <w:top w:val="single" w:color="auto" w:sz="4" w:space="0"/>
              <w:left w:val="single" w:color="auto" w:sz="4" w:space="0"/>
              <w:bottom w:val="single" w:color="auto" w:sz="4" w:space="0"/>
              <w:right w:val="single" w:color="auto" w:sz="4" w:space="0"/>
            </w:tcBorders>
            <w:vAlign w:val="center"/>
          </w:tcPr>
          <w:p w14:paraId="63F45525">
            <w:pPr>
              <w:adjustRightInd w:val="0"/>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500</w:t>
            </w:r>
          </w:p>
        </w:tc>
        <w:tc>
          <w:tcPr>
            <w:tcW w:w="1020" w:type="dxa"/>
            <w:tcBorders>
              <w:top w:val="single" w:color="auto" w:sz="4" w:space="0"/>
              <w:left w:val="single" w:color="auto" w:sz="4" w:space="0"/>
              <w:bottom w:val="single" w:color="auto" w:sz="4" w:space="0"/>
              <w:right w:val="single" w:color="auto" w:sz="4" w:space="0"/>
            </w:tcBorders>
            <w:vAlign w:val="center"/>
          </w:tcPr>
          <w:p w14:paraId="238069C2">
            <w:pPr>
              <w:adjustRightInd w:val="0"/>
              <w:snapToGrid w:val="0"/>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400</w:t>
            </w:r>
          </w:p>
        </w:tc>
        <w:tc>
          <w:tcPr>
            <w:tcW w:w="1030" w:type="dxa"/>
            <w:tcBorders>
              <w:top w:val="single" w:color="auto" w:sz="4" w:space="0"/>
              <w:left w:val="single" w:color="auto" w:sz="4" w:space="0"/>
              <w:bottom w:val="single" w:color="auto" w:sz="4" w:space="0"/>
              <w:right w:val="single" w:color="auto" w:sz="4" w:space="0"/>
            </w:tcBorders>
            <w:vAlign w:val="center"/>
          </w:tcPr>
          <w:p w14:paraId="4814BA85">
            <w:pPr>
              <w:adjustRightInd w:val="0"/>
              <w:snapToGrid w:val="0"/>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35</w:t>
            </w:r>
          </w:p>
        </w:tc>
        <w:tc>
          <w:tcPr>
            <w:tcW w:w="1020" w:type="dxa"/>
            <w:tcBorders>
              <w:top w:val="single" w:color="auto" w:sz="4" w:space="0"/>
              <w:left w:val="single" w:color="auto" w:sz="4" w:space="0"/>
              <w:bottom w:val="single" w:color="auto" w:sz="4" w:space="0"/>
              <w:right w:val="single" w:color="auto" w:sz="4" w:space="0"/>
            </w:tcBorders>
            <w:vAlign w:val="center"/>
          </w:tcPr>
          <w:p w14:paraId="12F7A863">
            <w:pPr>
              <w:adjustRightInd w:val="0"/>
              <w:snapToGrid w:val="0"/>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8</w:t>
            </w:r>
          </w:p>
        </w:tc>
        <w:tc>
          <w:tcPr>
            <w:tcW w:w="1130" w:type="dxa"/>
            <w:tcBorders>
              <w:top w:val="single" w:color="auto" w:sz="4" w:space="0"/>
              <w:left w:val="single" w:color="auto" w:sz="4" w:space="0"/>
              <w:bottom w:val="single" w:color="auto" w:sz="4" w:space="0"/>
              <w:right w:val="single" w:color="auto" w:sz="4" w:space="0"/>
            </w:tcBorders>
            <w:vAlign w:val="center"/>
          </w:tcPr>
          <w:p w14:paraId="4850C511">
            <w:pPr>
              <w:adjustRightInd w:val="0"/>
              <w:snapToGrid w:val="0"/>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45</w:t>
            </w:r>
          </w:p>
        </w:tc>
        <w:tc>
          <w:tcPr>
            <w:tcW w:w="1110" w:type="dxa"/>
            <w:tcBorders>
              <w:top w:val="single" w:color="auto" w:sz="4" w:space="0"/>
              <w:left w:val="single" w:color="auto" w:sz="4" w:space="0"/>
              <w:bottom w:val="single" w:color="auto" w:sz="4" w:space="0"/>
              <w:right w:val="single" w:color="auto" w:sz="4" w:space="0"/>
            </w:tcBorders>
            <w:vAlign w:val="center"/>
          </w:tcPr>
          <w:p w14:paraId="1D9DEE4F">
            <w:pPr>
              <w:adjustRightInd w:val="0"/>
              <w:snapToGrid w:val="0"/>
              <w:spacing w:line="240" w:lineRule="auto"/>
              <w:ind w:firstLine="0" w:firstLineChars="0"/>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lang w:val="en-US" w:eastAsia="zh-CN"/>
                <w14:textFill>
                  <w14:solidFill>
                    <w14:schemeClr w14:val="tx1"/>
                  </w14:solidFill>
                </w14:textFill>
              </w:rPr>
              <w:t>20</w:t>
            </w:r>
          </w:p>
        </w:tc>
        <w:tc>
          <w:tcPr>
            <w:tcW w:w="1210" w:type="dxa"/>
            <w:tcBorders>
              <w:top w:val="single" w:color="auto" w:sz="4" w:space="0"/>
              <w:left w:val="single" w:color="auto" w:sz="4" w:space="0"/>
              <w:bottom w:val="single" w:color="auto" w:sz="4" w:space="0"/>
              <w:right w:val="single" w:color="auto" w:sz="4" w:space="0"/>
            </w:tcBorders>
            <w:vAlign w:val="center"/>
          </w:tcPr>
          <w:p w14:paraId="62F9E093">
            <w:pPr>
              <w:adjustRightInd w:val="0"/>
              <w:snapToGrid w:val="0"/>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100</w:t>
            </w:r>
          </w:p>
        </w:tc>
        <w:tc>
          <w:tcPr>
            <w:tcW w:w="1050" w:type="dxa"/>
            <w:tcBorders>
              <w:top w:val="single" w:color="auto" w:sz="4" w:space="0"/>
              <w:left w:val="single" w:color="auto" w:sz="4" w:space="0"/>
              <w:bottom w:val="single" w:color="auto" w:sz="4" w:space="0"/>
              <w:right w:val="single" w:color="auto" w:sz="4" w:space="0"/>
            </w:tcBorders>
            <w:vAlign w:val="center"/>
          </w:tcPr>
          <w:p w14:paraId="735F4F88">
            <w:pPr>
              <w:adjustRightInd w:val="0"/>
              <w:snapToGrid w:val="0"/>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300</w:t>
            </w:r>
          </w:p>
        </w:tc>
        <w:tc>
          <w:tcPr>
            <w:tcW w:w="1160" w:type="dxa"/>
            <w:tcBorders>
              <w:top w:val="single" w:color="auto" w:sz="4" w:space="0"/>
              <w:left w:val="single" w:color="auto" w:sz="4" w:space="0"/>
              <w:bottom w:val="single" w:color="auto" w:sz="4" w:space="0"/>
              <w:right w:val="single" w:color="auto" w:sz="4" w:space="0"/>
            </w:tcBorders>
            <w:vAlign w:val="center"/>
          </w:tcPr>
          <w:p w14:paraId="295E6420">
            <w:pPr>
              <w:adjustRightInd w:val="0"/>
              <w:snapToGrid w:val="0"/>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100</w:t>
            </w:r>
          </w:p>
        </w:tc>
        <w:tc>
          <w:tcPr>
            <w:tcW w:w="1160" w:type="dxa"/>
            <w:tcBorders>
              <w:top w:val="single" w:color="auto" w:sz="4" w:space="0"/>
              <w:left w:val="single" w:color="auto" w:sz="4" w:space="0"/>
              <w:bottom w:val="single" w:color="auto" w:sz="4" w:space="0"/>
              <w:right w:val="single" w:color="auto" w:sz="4" w:space="0"/>
            </w:tcBorders>
            <w:vAlign w:val="center"/>
          </w:tcPr>
          <w:p w14:paraId="08FB0D11">
            <w:pPr>
              <w:adjustRightInd w:val="0"/>
              <w:snapToGrid w:val="0"/>
              <w:spacing w:line="240" w:lineRule="auto"/>
              <w:ind w:firstLine="0" w:firstLineChars="0"/>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lang w:val="en-US" w:eastAsia="zh-CN"/>
                <w14:textFill>
                  <w14:solidFill>
                    <w14:schemeClr w14:val="tx1"/>
                  </w14:solidFill>
                </w14:textFill>
              </w:rPr>
              <w:t>1000</w:t>
            </w:r>
          </w:p>
        </w:tc>
      </w:tr>
      <w:tr w14:paraId="0DD99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2763" w:type="dxa"/>
            <w:gridSpan w:val="3"/>
            <w:tcBorders>
              <w:top w:val="single" w:color="auto" w:sz="4" w:space="0"/>
              <w:right w:val="single" w:color="auto" w:sz="4" w:space="0"/>
            </w:tcBorders>
            <w:vAlign w:val="center"/>
          </w:tcPr>
          <w:p w14:paraId="0B035BCA">
            <w:pPr>
              <w:spacing w:line="320" w:lineRule="exact"/>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评价</w:t>
            </w:r>
          </w:p>
        </w:tc>
        <w:tc>
          <w:tcPr>
            <w:tcW w:w="1090" w:type="dxa"/>
            <w:tcBorders>
              <w:top w:val="single" w:color="auto" w:sz="4" w:space="0"/>
              <w:left w:val="single" w:color="auto" w:sz="4" w:space="0"/>
              <w:right w:val="single" w:color="auto" w:sz="4" w:space="0"/>
            </w:tcBorders>
            <w:vAlign w:val="center"/>
          </w:tcPr>
          <w:p w14:paraId="409F34EA">
            <w:pPr>
              <w:spacing w:line="320" w:lineRule="exact"/>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c>
          <w:tcPr>
            <w:tcW w:w="1090" w:type="dxa"/>
            <w:tcBorders>
              <w:top w:val="single" w:color="auto" w:sz="4" w:space="0"/>
              <w:left w:val="single" w:color="auto" w:sz="4" w:space="0"/>
              <w:right w:val="single" w:color="auto" w:sz="4" w:space="0"/>
            </w:tcBorders>
            <w:vAlign w:val="center"/>
          </w:tcPr>
          <w:p w14:paraId="2707BEDD">
            <w:pPr>
              <w:adjustRightInd w:val="0"/>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c>
          <w:tcPr>
            <w:tcW w:w="1020" w:type="dxa"/>
            <w:tcBorders>
              <w:top w:val="single" w:color="auto" w:sz="4" w:space="0"/>
              <w:left w:val="single" w:color="auto" w:sz="4" w:space="0"/>
              <w:right w:val="single" w:color="auto" w:sz="4" w:space="0"/>
            </w:tcBorders>
            <w:vAlign w:val="center"/>
          </w:tcPr>
          <w:p w14:paraId="4A6F8E91">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达标</w:t>
            </w:r>
          </w:p>
        </w:tc>
        <w:tc>
          <w:tcPr>
            <w:tcW w:w="1030" w:type="dxa"/>
            <w:tcBorders>
              <w:top w:val="single" w:color="auto" w:sz="4" w:space="0"/>
              <w:left w:val="single" w:color="auto" w:sz="4" w:space="0"/>
              <w:right w:val="single" w:color="auto" w:sz="4" w:space="0"/>
            </w:tcBorders>
            <w:vAlign w:val="center"/>
          </w:tcPr>
          <w:p w14:paraId="2BED932E">
            <w:pPr>
              <w:adjustRightInd w:val="0"/>
              <w:snapToGrid w:val="0"/>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达标</w:t>
            </w:r>
          </w:p>
        </w:tc>
        <w:tc>
          <w:tcPr>
            <w:tcW w:w="1020" w:type="dxa"/>
            <w:tcBorders>
              <w:top w:val="single" w:color="auto" w:sz="4" w:space="0"/>
              <w:left w:val="single" w:color="auto" w:sz="4" w:space="0"/>
              <w:right w:val="single" w:color="auto" w:sz="4" w:space="0"/>
            </w:tcBorders>
            <w:vAlign w:val="center"/>
          </w:tcPr>
          <w:p w14:paraId="1B5D2048">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达标</w:t>
            </w:r>
          </w:p>
        </w:tc>
        <w:tc>
          <w:tcPr>
            <w:tcW w:w="1130" w:type="dxa"/>
            <w:tcBorders>
              <w:top w:val="single" w:color="auto" w:sz="4" w:space="0"/>
              <w:left w:val="single" w:color="auto" w:sz="4" w:space="0"/>
              <w:right w:val="single" w:color="auto" w:sz="4" w:space="0"/>
            </w:tcBorders>
            <w:vAlign w:val="center"/>
          </w:tcPr>
          <w:p w14:paraId="50EFD1AF">
            <w:pPr>
              <w:adjustRightInd w:val="0"/>
              <w:snapToGrid w:val="0"/>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达标</w:t>
            </w:r>
          </w:p>
        </w:tc>
        <w:tc>
          <w:tcPr>
            <w:tcW w:w="1110" w:type="dxa"/>
            <w:tcBorders>
              <w:top w:val="single" w:color="auto" w:sz="4" w:space="0"/>
              <w:left w:val="single" w:color="auto" w:sz="4" w:space="0"/>
              <w:right w:val="single" w:color="auto" w:sz="4" w:space="0"/>
            </w:tcBorders>
            <w:vAlign w:val="center"/>
          </w:tcPr>
          <w:p w14:paraId="7BE955EC">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达标</w:t>
            </w:r>
          </w:p>
        </w:tc>
        <w:tc>
          <w:tcPr>
            <w:tcW w:w="1210" w:type="dxa"/>
            <w:tcBorders>
              <w:top w:val="single" w:color="auto" w:sz="4" w:space="0"/>
              <w:left w:val="single" w:color="auto" w:sz="4" w:space="0"/>
              <w:right w:val="single" w:color="auto" w:sz="4" w:space="0"/>
            </w:tcBorders>
            <w:vAlign w:val="center"/>
          </w:tcPr>
          <w:p w14:paraId="67B08270">
            <w:pPr>
              <w:adjustRightInd w:val="0"/>
              <w:snapToGrid w:val="0"/>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达标</w:t>
            </w:r>
          </w:p>
        </w:tc>
        <w:tc>
          <w:tcPr>
            <w:tcW w:w="1050" w:type="dxa"/>
            <w:tcBorders>
              <w:top w:val="single" w:color="auto" w:sz="4" w:space="0"/>
              <w:left w:val="single" w:color="auto" w:sz="4" w:space="0"/>
              <w:right w:val="single" w:color="auto" w:sz="4" w:space="0"/>
            </w:tcBorders>
            <w:vAlign w:val="center"/>
          </w:tcPr>
          <w:p w14:paraId="043C3ED1">
            <w:pPr>
              <w:spacing w:line="320" w:lineRule="exact"/>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达标</w:t>
            </w:r>
          </w:p>
        </w:tc>
        <w:tc>
          <w:tcPr>
            <w:tcW w:w="1160" w:type="dxa"/>
            <w:tcBorders>
              <w:top w:val="single" w:color="auto" w:sz="4" w:space="0"/>
              <w:left w:val="single" w:color="auto" w:sz="4" w:space="0"/>
              <w:right w:val="single" w:color="auto" w:sz="4" w:space="0"/>
            </w:tcBorders>
            <w:vAlign w:val="center"/>
          </w:tcPr>
          <w:p w14:paraId="17623DEE">
            <w:pPr>
              <w:adjustRightInd w:val="0"/>
              <w:snapToGrid w:val="0"/>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达标</w:t>
            </w:r>
          </w:p>
        </w:tc>
        <w:tc>
          <w:tcPr>
            <w:tcW w:w="1160" w:type="dxa"/>
            <w:tcBorders>
              <w:top w:val="single" w:color="auto" w:sz="4" w:space="0"/>
              <w:left w:val="single" w:color="auto" w:sz="4" w:space="0"/>
              <w:right w:val="single" w:color="auto" w:sz="4" w:space="0"/>
            </w:tcBorders>
            <w:vAlign w:val="center"/>
          </w:tcPr>
          <w:p w14:paraId="7897B595">
            <w:pPr>
              <w:adjustRightInd w:val="0"/>
              <w:snapToGrid w:val="0"/>
              <w:spacing w:line="240" w:lineRule="auto"/>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bl>
    <w:p w14:paraId="4ECC97CF">
      <w:pPr>
        <w:pStyle w:val="10"/>
        <w:spacing w:line="240" w:lineRule="exact"/>
        <w:ind w:firstLine="0" w:firstLineChars="0"/>
        <w:rPr>
          <w:rFonts w:hint="default" w:ascii="Times New Roman" w:hAnsi="Times New Roman" w:cs="Times New Roman"/>
          <w:b/>
          <w:bCs/>
          <w:color w:val="000000"/>
          <w:sz w:val="18"/>
          <w:szCs w:val="18"/>
        </w:rPr>
      </w:pPr>
    </w:p>
    <w:p w14:paraId="5F759450">
      <w:pPr>
        <w:pStyle w:val="10"/>
        <w:spacing w:line="240" w:lineRule="exact"/>
        <w:ind w:firstLine="0" w:firstLineChars="0"/>
        <w:rPr>
          <w:rFonts w:hint="default" w:ascii="Times New Roman" w:hAnsi="Times New Roman" w:eastAsia="仿宋_GB2312" w:cs="Times New Roman"/>
          <w:lang w:val="en-US" w:eastAsia="zh-CN"/>
        </w:rPr>
      </w:pPr>
      <w:r>
        <w:rPr>
          <w:rFonts w:hint="default" w:ascii="Times New Roman" w:hAnsi="Times New Roman" w:cs="Times New Roman"/>
          <w:b/>
          <w:bCs/>
          <w:color w:val="000000"/>
          <w:sz w:val="18"/>
          <w:szCs w:val="18"/>
        </w:rPr>
        <w:t>注：</w:t>
      </w:r>
      <w:r>
        <w:rPr>
          <w:rFonts w:hint="default" w:ascii="Times New Roman" w:hAnsi="Times New Roman" w:cs="Times New Roman"/>
          <w:b/>
          <w:bCs/>
          <w:color w:val="000000"/>
          <w:sz w:val="18"/>
          <w:szCs w:val="18"/>
          <w:lang w:val="en-US" w:eastAsia="zh-CN"/>
        </w:rPr>
        <w:t>1.</w:t>
      </w:r>
      <w:r>
        <w:rPr>
          <w:rFonts w:hint="default" w:ascii="Times New Roman" w:hAnsi="Times New Roman" w:cs="Times New Roman"/>
          <w:b/>
          <w:bCs/>
          <w:color w:val="000000"/>
          <w:sz w:val="18"/>
          <w:szCs w:val="18"/>
        </w:rPr>
        <w:t>ND表示未检出</w:t>
      </w:r>
      <w:r>
        <w:rPr>
          <w:rFonts w:hint="default" w:ascii="Times New Roman" w:hAnsi="Times New Roman" w:cs="Times New Roman"/>
          <w:b/>
          <w:bCs/>
          <w:color w:val="000000"/>
          <w:sz w:val="18"/>
          <w:szCs w:val="18"/>
          <w:lang w:eastAsia="zh-CN"/>
        </w:rPr>
        <w:t>；</w:t>
      </w:r>
      <w:r>
        <w:rPr>
          <w:rFonts w:hint="default" w:ascii="Times New Roman" w:hAnsi="Times New Roman" w:cs="Times New Roman"/>
          <w:b/>
          <w:bCs/>
          <w:color w:val="000000"/>
          <w:sz w:val="18"/>
          <w:szCs w:val="18"/>
          <w:lang w:val="en-US" w:eastAsia="zh-CN"/>
        </w:rPr>
        <w:t>2.本次验收产品及废水出水水质均与一期验收完全一致，故本次仅对总排口进行监测。</w:t>
      </w:r>
    </w:p>
    <w:p w14:paraId="58C1F8C7">
      <w:pPr>
        <w:spacing w:beforeLines="50"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监测数据表明，</w:t>
      </w:r>
      <w:bookmarkStart w:id="124" w:name="_Hlk520383593"/>
      <w:r>
        <w:rPr>
          <w:rFonts w:hint="default" w:ascii="Times New Roman" w:hAnsi="Times New Roman" w:eastAsia="仿宋" w:cs="Times New Roman"/>
          <w:color w:val="000000"/>
        </w:rPr>
        <w:t>验收监测期间，本项目废水总排口pH 值、悬浮物、化学需氧量、五日生化需氧量、动植物油、石油类</w:t>
      </w:r>
      <w:r>
        <w:rPr>
          <w:rFonts w:hint="default" w:ascii="Times New Roman" w:hAnsi="Times New Roman" w:eastAsia="仿宋" w:cs="Times New Roman"/>
          <w:color w:val="000000"/>
          <w:lang w:val="en-US" w:eastAsia="zh-CN"/>
        </w:rPr>
        <w:t>满足</w:t>
      </w:r>
      <w:r>
        <w:rPr>
          <w:rFonts w:hint="default" w:ascii="Times New Roman" w:hAnsi="Times New Roman" w:eastAsia="仿宋" w:cs="Times New Roman"/>
          <w:color w:val="000000"/>
        </w:rPr>
        <w:t>《污水综合排放标准》（GB 8978-1996）表4中三级</w:t>
      </w:r>
      <w:r>
        <w:rPr>
          <w:rFonts w:hint="default" w:ascii="Times New Roman" w:hAnsi="Times New Roman" w:eastAsia="仿宋" w:cs="Times New Roman"/>
          <w:color w:val="000000"/>
          <w:lang w:val="en-US" w:eastAsia="zh-CN"/>
        </w:rPr>
        <w:t>要求</w:t>
      </w:r>
      <w:r>
        <w:rPr>
          <w:rFonts w:hint="default" w:ascii="Times New Roman" w:hAnsi="Times New Roman" w:eastAsia="仿宋" w:cs="Times New Roman"/>
          <w:color w:val="000000"/>
        </w:rPr>
        <w:t>；总磷</w:t>
      </w:r>
      <w:r>
        <w:rPr>
          <w:rFonts w:hint="default" w:ascii="Times New Roman" w:hAnsi="Times New Roman" w:eastAsia="仿宋" w:cs="Times New Roman"/>
          <w:color w:val="000000"/>
          <w:lang w:val="en-US" w:eastAsia="zh-CN"/>
        </w:rPr>
        <w:t>满足</w:t>
      </w:r>
      <w:r>
        <w:rPr>
          <w:rFonts w:hint="default" w:ascii="Times New Roman" w:hAnsi="Times New Roman" w:eastAsia="仿宋" w:cs="Times New Roman"/>
          <w:color w:val="000000"/>
        </w:rPr>
        <w:t>《污水排入城镇下水道水质标准》（GB/T 31962-2015）表1中B级</w:t>
      </w:r>
      <w:r>
        <w:rPr>
          <w:rFonts w:hint="default" w:ascii="Times New Roman" w:hAnsi="Times New Roman" w:eastAsia="仿宋" w:cs="Times New Roman"/>
          <w:color w:val="000000"/>
          <w:lang w:val="en-US" w:eastAsia="zh-CN"/>
        </w:rPr>
        <w:t>要求</w:t>
      </w:r>
      <w:r>
        <w:rPr>
          <w:rFonts w:hint="default" w:ascii="Times New Roman" w:hAnsi="Times New Roman" w:eastAsia="仿宋" w:cs="Times New Roman"/>
          <w:color w:val="000000"/>
        </w:rPr>
        <w:t>；氨氮、总氮、</w:t>
      </w:r>
      <w:r>
        <w:rPr>
          <w:rFonts w:hint="eastAsia" w:eastAsia="仿宋" w:cs="Times New Roman"/>
          <w:color w:val="000000"/>
          <w:lang w:eastAsia="zh-CN"/>
        </w:rPr>
        <w:t>*</w:t>
      </w:r>
      <w:r>
        <w:rPr>
          <w:rFonts w:hint="default" w:ascii="Times New Roman" w:hAnsi="Times New Roman" w:eastAsia="仿宋" w:cs="Times New Roman"/>
          <w:color w:val="000000"/>
        </w:rPr>
        <w:t>、可吸附有机卤素</w:t>
      </w:r>
      <w:r>
        <w:rPr>
          <w:rFonts w:hint="default" w:ascii="Times New Roman" w:hAnsi="Times New Roman" w:eastAsia="仿宋" w:cs="Times New Roman"/>
          <w:color w:val="000000"/>
          <w:lang w:val="en-US" w:eastAsia="zh-CN"/>
        </w:rPr>
        <w:t>满足</w:t>
      </w:r>
      <w:r>
        <w:rPr>
          <w:rFonts w:hint="default" w:ascii="Times New Roman" w:hAnsi="Times New Roman" w:eastAsia="仿宋" w:cs="Times New Roman"/>
          <w:color w:val="000000"/>
        </w:rPr>
        <w:t>苏环洋口港（南通）水务有限公司接管要求。</w:t>
      </w:r>
      <w:bookmarkEnd w:id="124"/>
    </w:p>
    <w:p w14:paraId="63C1224D">
      <w:pPr>
        <w:pStyle w:val="10"/>
        <w:ind w:firstLine="480"/>
        <w:rPr>
          <w:rFonts w:hint="default" w:ascii="Times New Roman" w:hAnsi="Times New Roman" w:cs="Times New Roman"/>
        </w:rPr>
      </w:pPr>
    </w:p>
    <w:p w14:paraId="3F627BB8">
      <w:pPr>
        <w:pStyle w:val="10"/>
        <w:ind w:firstLine="480"/>
        <w:rPr>
          <w:rFonts w:hint="default" w:ascii="Times New Roman" w:hAnsi="Times New Roman" w:cs="Times New Roman"/>
        </w:rPr>
        <w:sectPr>
          <w:pgSz w:w="16838" w:h="11906" w:orient="landscape"/>
          <w:pgMar w:top="1418" w:right="1440" w:bottom="1418" w:left="1440" w:header="851" w:footer="992" w:gutter="0"/>
          <w:cols w:space="425" w:num="1"/>
          <w:docGrid w:type="lines" w:linePitch="326" w:charSpace="0"/>
        </w:sectPr>
      </w:pPr>
    </w:p>
    <w:p w14:paraId="2B22CA89">
      <w:pPr>
        <w:pStyle w:val="4"/>
        <w:spacing w:before="163" w:after="163"/>
        <w:rPr>
          <w:rFonts w:hint="default" w:ascii="Times New Roman" w:hAnsi="Times New Roman" w:cs="Times New Roman"/>
          <w:color w:val="000000"/>
        </w:rPr>
      </w:pPr>
      <w:bookmarkStart w:id="125" w:name="_Toc520410275"/>
      <w:r>
        <w:rPr>
          <w:rFonts w:hint="default" w:ascii="Times New Roman" w:hAnsi="Times New Roman" w:cs="Times New Roman"/>
          <w:color w:val="000000"/>
        </w:rPr>
        <w:t>9.2.2 有组织废气</w:t>
      </w:r>
      <w:bookmarkEnd w:id="125"/>
    </w:p>
    <w:p w14:paraId="6CA0AE18">
      <w:pPr>
        <w:adjustRightInd w:val="0"/>
        <w:spacing w:line="480" w:lineRule="exact"/>
        <w:ind w:firstLine="560"/>
        <w:rPr>
          <w:rFonts w:hint="default" w:ascii="Times New Roman" w:hAnsi="Times New Roman" w:eastAsia="仿宋" w:cs="Times New Roman"/>
          <w:color w:val="000000"/>
          <w:shd w:val="clear" w:color="auto" w:fill="FFFFFF"/>
        </w:rPr>
      </w:pPr>
      <w:r>
        <w:rPr>
          <w:rFonts w:hint="default" w:ascii="Times New Roman" w:hAnsi="Times New Roman" w:eastAsia="仿宋" w:cs="Times New Roman"/>
          <w:color w:val="000000"/>
          <w:shd w:val="clear" w:color="auto" w:fill="FFFFFF"/>
        </w:rPr>
        <w:t>本次验收项目有组织废气监测结果与评价详见表9.2-</w:t>
      </w:r>
      <w:r>
        <w:rPr>
          <w:rFonts w:hint="default" w:ascii="Times New Roman" w:hAnsi="Times New Roman" w:eastAsia="仿宋" w:cs="Times New Roman"/>
          <w:color w:val="000000"/>
          <w:shd w:val="clear" w:color="auto" w:fill="FFFFFF"/>
          <w:lang w:val="en-US" w:eastAsia="zh-CN"/>
        </w:rPr>
        <w:t>2</w:t>
      </w:r>
      <w:r>
        <w:rPr>
          <w:rFonts w:hint="default" w:ascii="Times New Roman" w:hAnsi="Times New Roman" w:eastAsia="仿宋" w:cs="Times New Roman"/>
          <w:color w:val="000000"/>
          <w:shd w:val="clear" w:color="auto" w:fill="FFFFFF"/>
        </w:rPr>
        <w:t>。</w:t>
      </w:r>
    </w:p>
    <w:p w14:paraId="04C225FF">
      <w:pPr>
        <w:pStyle w:val="10"/>
        <w:ind w:firstLine="480"/>
        <w:rPr>
          <w:rFonts w:hint="default" w:ascii="Times New Roman" w:hAnsi="Times New Roman" w:eastAsia="仿宋" w:cs="Times New Roman"/>
          <w:b/>
          <w:color w:val="000000" w:themeColor="text1"/>
          <w:sz w:val="28"/>
          <w:szCs w:val="28"/>
          <w14:textFill>
            <w14:solidFill>
              <w14:schemeClr w14:val="tx1"/>
            </w14:solidFill>
          </w14:textFill>
        </w:rPr>
      </w:pPr>
      <w:r>
        <w:rPr>
          <w:rFonts w:hint="default" w:ascii="Times New Roman" w:hAnsi="Times New Roman" w:eastAsia="仿宋" w:cs="Times New Roman"/>
          <w:b/>
          <w:color w:val="000000" w:themeColor="text1"/>
          <w:sz w:val="28"/>
          <w:szCs w:val="28"/>
          <w14:textFill>
            <w14:solidFill>
              <w14:schemeClr w14:val="tx1"/>
            </w14:solidFill>
          </w14:textFill>
        </w:rPr>
        <w:t>涉密删除。</w:t>
      </w:r>
    </w:p>
    <w:p w14:paraId="43C36335">
      <w:pPr>
        <w:pStyle w:val="10"/>
        <w:ind w:firstLine="480"/>
        <w:rPr>
          <w:rFonts w:hint="default" w:ascii="Times New Roman" w:hAnsi="Times New Roman" w:cs="Times New Roman"/>
        </w:rPr>
        <w:sectPr>
          <w:pgSz w:w="11906" w:h="16838"/>
          <w:pgMar w:top="1440" w:right="1797" w:bottom="1440" w:left="1797" w:header="851" w:footer="992" w:gutter="0"/>
          <w:cols w:space="425" w:num="1"/>
          <w:docGrid w:type="lines" w:linePitch="326" w:charSpace="0"/>
        </w:sectPr>
      </w:pPr>
      <w:r>
        <w:rPr>
          <w:rFonts w:hint="default" w:ascii="Times New Roman" w:hAnsi="Times New Roman" w:eastAsia="仿宋" w:cs="Times New Roman"/>
          <w:color w:val="000000" w:themeColor="text1"/>
          <w:sz w:val="28"/>
          <w:szCs w:val="28"/>
          <w14:textFill>
            <w14:solidFill>
              <w14:schemeClr w14:val="tx1"/>
            </w14:solidFill>
          </w14:textFill>
        </w:rPr>
        <w:t>监测结果表明，验收监测期间，项目生产过程中排放的</w:t>
      </w:r>
      <w:r>
        <w:rPr>
          <w:rFonts w:hint="default" w:ascii="Times New Roman" w:hAnsi="Times New Roman" w:eastAsia="仿宋" w:cs="Times New Roman"/>
          <w:snapToGrid w:val="0"/>
          <w:kern w:val="0"/>
          <w:sz w:val="28"/>
          <w:szCs w:val="28"/>
        </w:rPr>
        <w:t>非甲烷总烃、</w:t>
      </w:r>
      <w:r>
        <w:rPr>
          <w:rFonts w:hint="eastAsia" w:ascii="Times New Roman" w:hAnsi="Times New Roman" w:eastAsia="仿宋" w:cs="Times New Roman"/>
          <w:snapToGrid w:val="0"/>
          <w:kern w:val="0"/>
          <w:sz w:val="28"/>
          <w:szCs w:val="28"/>
          <w:lang w:eastAsia="zh-CN"/>
        </w:rPr>
        <w:t>*</w:t>
      </w:r>
      <w:r>
        <w:rPr>
          <w:rFonts w:hint="default" w:ascii="Times New Roman" w:hAnsi="Times New Roman" w:eastAsia="仿宋" w:cs="Times New Roman"/>
          <w:color w:val="000000" w:themeColor="text1"/>
          <w:sz w:val="28"/>
          <w:szCs w:val="28"/>
          <w14:textFill>
            <w14:solidFill>
              <w14:schemeClr w14:val="tx1"/>
            </w14:solidFill>
          </w14:textFill>
        </w:rPr>
        <w:t>的排放浓度和排放速率均满足</w:t>
      </w:r>
      <w:r>
        <w:rPr>
          <w:rFonts w:hint="default" w:ascii="Times New Roman" w:hAnsi="Times New Roman" w:eastAsia="仿宋" w:cs="Times New Roman"/>
          <w:snapToGrid w:val="0"/>
          <w:kern w:val="0"/>
          <w:sz w:val="28"/>
          <w:szCs w:val="28"/>
        </w:rPr>
        <w:t>《大气污染物综合排放标准》（DB32/4041-2021）</w:t>
      </w:r>
      <w:r>
        <w:rPr>
          <w:rFonts w:hint="default" w:ascii="Times New Roman" w:hAnsi="Times New Roman" w:eastAsia="仿宋" w:cs="Times New Roman"/>
          <w:color w:val="000000" w:themeColor="text1"/>
          <w:sz w:val="28"/>
          <w:szCs w:val="28"/>
          <w14:textFill>
            <w14:solidFill>
              <w14:schemeClr w14:val="tx1"/>
            </w14:solidFill>
          </w14:textFill>
        </w:rPr>
        <w:t>标准中相关要求，氨、</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硫</w:t>
      </w:r>
      <w:r>
        <w:rPr>
          <w:rFonts w:hint="default" w:ascii="Times New Roman" w:hAnsi="Times New Roman" w:eastAsia="仿宋" w:cs="Times New Roman"/>
          <w:color w:val="000000" w:themeColor="text1"/>
          <w:sz w:val="28"/>
          <w:szCs w:val="28"/>
          <w14:textFill>
            <w14:solidFill>
              <w14:schemeClr w14:val="tx1"/>
            </w14:solidFill>
          </w14:textFill>
        </w:rPr>
        <w:t>化氢、臭气浓度</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满足</w:t>
      </w:r>
      <w:r>
        <w:rPr>
          <w:rFonts w:hint="default" w:ascii="Times New Roman" w:hAnsi="Times New Roman" w:eastAsia="仿宋" w:cs="Times New Roman"/>
          <w:color w:val="000000" w:themeColor="text1"/>
          <w:sz w:val="28"/>
          <w:szCs w:val="28"/>
          <w14:textFill>
            <w14:solidFill>
              <w14:schemeClr w14:val="tx1"/>
            </w14:solidFill>
          </w14:textFill>
        </w:rPr>
        <w:t>《恶臭污染物排放标准》(GB14554-93)</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相关限值要求</w:t>
      </w:r>
      <w:r>
        <w:rPr>
          <w:rFonts w:hint="default" w:ascii="Times New Roman" w:hAnsi="Times New Roman" w:eastAsia="仿宋" w:cs="Times New Roman"/>
          <w:color w:val="000000" w:themeColor="text1"/>
          <w:sz w:val="28"/>
          <w:szCs w:val="28"/>
          <w:lang w:eastAsia="zh-CN"/>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油雾</w:t>
      </w:r>
      <w:r>
        <w:rPr>
          <w:rFonts w:hint="default" w:ascii="Times New Roman" w:hAnsi="Times New Roman" w:eastAsia="仿宋" w:cs="Times New Roman"/>
          <w:color w:val="000000" w:themeColor="text1"/>
          <w:sz w:val="28"/>
          <w:szCs w:val="28"/>
          <w14:textFill>
            <w14:solidFill>
              <w14:schemeClr w14:val="tx1"/>
            </w14:solidFill>
          </w14:textFill>
        </w:rPr>
        <w:t>排放浓度</w:t>
      </w:r>
      <w:r>
        <w:rPr>
          <w:rFonts w:hint="default" w:ascii="Times New Roman" w:hAnsi="Times New Roman" w:eastAsia="仿宋" w:cs="Times New Roman"/>
          <w:snapToGrid w:val="0"/>
          <w:kern w:val="0"/>
          <w:sz w:val="28"/>
          <w:szCs w:val="28"/>
        </w:rPr>
        <w:t>满足《上海市大气污染物综合排放标准》（DB31 933-2015）表1中排放标准限值要求</w:t>
      </w:r>
      <w:r>
        <w:rPr>
          <w:rFonts w:hint="default" w:ascii="Times New Roman" w:hAnsi="Times New Roman" w:eastAsia="仿宋" w:cs="Times New Roman"/>
          <w:snapToGrid w:val="0"/>
          <w:kern w:val="0"/>
          <w:sz w:val="28"/>
          <w:szCs w:val="28"/>
          <w:lang w:eastAsia="zh-CN"/>
        </w:rPr>
        <w:t>。</w:t>
      </w:r>
      <w:r>
        <w:rPr>
          <w:rFonts w:hint="default" w:ascii="Times New Roman" w:hAnsi="Times New Roman" w:eastAsia="仿宋" w:cs="Times New Roman"/>
          <w:snapToGrid w:val="0"/>
          <w:kern w:val="0"/>
          <w:sz w:val="28"/>
          <w:szCs w:val="28"/>
          <w:lang w:val="en-US" w:eastAsia="zh-CN"/>
        </w:rPr>
        <w:t>根据监测数据，</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油雾去除效率可达环评设计标准（即：高效静电油雾净化装置处理效率：92%）</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w:t>
      </w:r>
    </w:p>
    <w:p w14:paraId="68FD207B">
      <w:pPr>
        <w:pStyle w:val="4"/>
        <w:spacing w:before="163" w:after="163"/>
        <w:rPr>
          <w:rFonts w:hint="default" w:ascii="Times New Roman" w:hAnsi="Times New Roman" w:cs="Times New Roman"/>
          <w:color w:val="000000"/>
        </w:rPr>
      </w:pPr>
      <w:bookmarkStart w:id="126" w:name="_Toc520410276"/>
      <w:r>
        <w:rPr>
          <w:rFonts w:hint="default" w:ascii="Times New Roman" w:hAnsi="Times New Roman" w:cs="Times New Roman"/>
          <w:color w:val="000000"/>
        </w:rPr>
        <w:t>9.2.3 无组织废气</w:t>
      </w:r>
      <w:bookmarkEnd w:id="126"/>
    </w:p>
    <w:p w14:paraId="0F8DA9F2">
      <w:pPr>
        <w:adjustRightInd w:val="0"/>
        <w:spacing w:line="480" w:lineRule="exact"/>
        <w:ind w:firstLine="560"/>
        <w:rPr>
          <w:rFonts w:hint="default" w:ascii="Times New Roman" w:hAnsi="Times New Roman" w:eastAsia="仿宋" w:cs="Times New Roman"/>
          <w:color w:val="000000"/>
          <w:shd w:val="clear" w:color="auto" w:fill="FFFFFF"/>
        </w:rPr>
      </w:pPr>
      <w:r>
        <w:rPr>
          <w:rFonts w:hint="default" w:ascii="Times New Roman" w:hAnsi="Times New Roman" w:eastAsia="仿宋" w:cs="Times New Roman"/>
          <w:color w:val="000000"/>
          <w:shd w:val="clear" w:color="auto" w:fill="FFFFFF"/>
        </w:rPr>
        <w:t>项目无组织废气验收监测期间气象参数监测结果见表9.2-5，无组织废气监测结果见表9.2-6，无组织监测点位见图7.2-1（监测两日风向一致，故两日监测点位一致）。</w:t>
      </w:r>
    </w:p>
    <w:p w14:paraId="204F9F82">
      <w:pPr>
        <w:adjustRightInd w:val="0"/>
        <w:spacing w:line="480" w:lineRule="exact"/>
        <w:ind w:firstLine="560"/>
        <w:rPr>
          <w:rFonts w:hint="default" w:ascii="Times New Roman" w:hAnsi="Times New Roman" w:eastAsia="仿宋" w:cs="Times New Roman"/>
          <w:color w:val="000000"/>
          <w:shd w:val="clear" w:color="auto" w:fill="FFFFFF"/>
        </w:rPr>
      </w:pPr>
      <w:r>
        <w:rPr>
          <w:rFonts w:hint="default" w:ascii="Times New Roman" w:hAnsi="Times New Roman" w:eastAsia="仿宋" w:cs="Times New Roman"/>
          <w:color w:val="000000"/>
          <w:shd w:val="clear" w:color="auto" w:fill="FFFFFF"/>
        </w:rPr>
        <w:t>验收监测期间，厂界无组织排放的非甲烷总烃、</w:t>
      </w:r>
      <w:r>
        <w:rPr>
          <w:rFonts w:hint="eastAsia" w:eastAsia="仿宋" w:cs="Times New Roman"/>
          <w:color w:val="000000"/>
          <w:shd w:val="clear" w:color="auto" w:fill="FFFFFF"/>
          <w:lang w:eastAsia="zh-CN"/>
        </w:rPr>
        <w:t>*</w:t>
      </w:r>
      <w:r>
        <w:rPr>
          <w:rFonts w:hint="default" w:ascii="Times New Roman" w:hAnsi="Times New Roman" w:eastAsia="仿宋" w:cs="Times New Roman"/>
          <w:color w:val="000000"/>
          <w:shd w:val="clear" w:color="auto" w:fill="FFFFFF"/>
        </w:rPr>
        <w:t>的监测结果满足《大气污染物综合排放标准》（DB32/4041-2021）中的无组织监控浓度限值要求，氨、</w:t>
      </w:r>
      <w:r>
        <w:rPr>
          <w:rFonts w:hint="default" w:ascii="Times New Roman" w:hAnsi="Times New Roman" w:eastAsia="仿宋" w:cs="Times New Roman"/>
          <w:color w:val="000000"/>
          <w:shd w:val="clear" w:color="auto" w:fill="FFFFFF"/>
          <w:lang w:val="en-US" w:eastAsia="zh-CN"/>
        </w:rPr>
        <w:t>硫</w:t>
      </w:r>
      <w:r>
        <w:rPr>
          <w:rFonts w:hint="default" w:ascii="Times New Roman" w:hAnsi="Times New Roman" w:eastAsia="仿宋" w:cs="Times New Roman"/>
          <w:color w:val="000000"/>
          <w:shd w:val="clear" w:color="auto" w:fill="FFFFFF"/>
        </w:rPr>
        <w:t>化氢、臭气浓度执行《恶臭污染物排放标准》(GB14554-93)排放限值要求，厂区内VOCs无组织排放监控点排放浓度满足《挥发性有机物无组织排放控制标准》（GB37822-2019）表 A.1 规定的限值要求。</w:t>
      </w:r>
    </w:p>
    <w:p w14:paraId="32356B35">
      <w:pPr>
        <w:spacing w:line="480" w:lineRule="exact"/>
        <w:ind w:firstLine="0" w:firstLineChars="0"/>
        <w:jc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rPr>
        <w:t>表9.2-6  监测期间气象参数</w:t>
      </w:r>
    </w:p>
    <w:tbl>
      <w:tblPr>
        <w:tblStyle w:val="25"/>
        <w:tblW w:w="866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284"/>
        <w:gridCol w:w="1133"/>
        <w:gridCol w:w="1023"/>
        <w:gridCol w:w="1133"/>
        <w:gridCol w:w="1133"/>
        <w:gridCol w:w="952"/>
        <w:gridCol w:w="796"/>
        <w:gridCol w:w="1210"/>
      </w:tblGrid>
      <w:tr w14:paraId="446674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284" w:type="dxa"/>
            <w:vAlign w:val="center"/>
          </w:tcPr>
          <w:p w14:paraId="5641D631">
            <w:pPr>
              <w:tabs>
                <w:tab w:val="left" w:pos="3163"/>
              </w:tabs>
              <w:spacing w:line="320" w:lineRule="exact"/>
              <w:ind w:firstLine="0" w:firstLineChars="0"/>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监测日期</w:t>
            </w:r>
          </w:p>
        </w:tc>
        <w:tc>
          <w:tcPr>
            <w:tcW w:w="1133" w:type="dxa"/>
            <w:vAlign w:val="center"/>
          </w:tcPr>
          <w:p w14:paraId="373BA5A4">
            <w:pPr>
              <w:tabs>
                <w:tab w:val="left" w:pos="3163"/>
              </w:tabs>
              <w:spacing w:line="320" w:lineRule="exact"/>
              <w:ind w:firstLine="0" w:firstLineChars="0"/>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时间</w:t>
            </w:r>
          </w:p>
        </w:tc>
        <w:tc>
          <w:tcPr>
            <w:tcW w:w="1023" w:type="dxa"/>
            <w:vAlign w:val="center"/>
          </w:tcPr>
          <w:p w14:paraId="59C249A9">
            <w:pPr>
              <w:tabs>
                <w:tab w:val="left" w:pos="3163"/>
              </w:tabs>
              <w:spacing w:line="320" w:lineRule="exact"/>
              <w:ind w:firstLine="0" w:firstLineChars="0"/>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气温（℃）</w:t>
            </w:r>
          </w:p>
        </w:tc>
        <w:tc>
          <w:tcPr>
            <w:tcW w:w="1133" w:type="dxa"/>
            <w:vAlign w:val="center"/>
          </w:tcPr>
          <w:p w14:paraId="6B7911A0">
            <w:pPr>
              <w:tabs>
                <w:tab w:val="left" w:pos="3163"/>
              </w:tabs>
              <w:spacing w:line="320" w:lineRule="exact"/>
              <w:ind w:firstLine="0" w:firstLineChars="0"/>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气压（kPa）</w:t>
            </w:r>
          </w:p>
        </w:tc>
        <w:tc>
          <w:tcPr>
            <w:tcW w:w="1133" w:type="dxa"/>
            <w:vAlign w:val="center"/>
          </w:tcPr>
          <w:p w14:paraId="63761AEE">
            <w:pPr>
              <w:tabs>
                <w:tab w:val="left" w:pos="3163"/>
              </w:tabs>
              <w:spacing w:line="320" w:lineRule="exact"/>
              <w:ind w:firstLine="0" w:firstLineChars="0"/>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湿度（%）</w:t>
            </w:r>
          </w:p>
        </w:tc>
        <w:tc>
          <w:tcPr>
            <w:tcW w:w="952" w:type="dxa"/>
            <w:vAlign w:val="center"/>
          </w:tcPr>
          <w:p w14:paraId="722F229C">
            <w:pPr>
              <w:tabs>
                <w:tab w:val="left" w:pos="3163"/>
              </w:tabs>
              <w:spacing w:line="320" w:lineRule="exact"/>
              <w:ind w:firstLine="0" w:firstLineChars="0"/>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风向</w:t>
            </w:r>
          </w:p>
        </w:tc>
        <w:tc>
          <w:tcPr>
            <w:tcW w:w="796" w:type="dxa"/>
            <w:vAlign w:val="center"/>
          </w:tcPr>
          <w:p w14:paraId="500A8E8C">
            <w:pPr>
              <w:tabs>
                <w:tab w:val="left" w:pos="3163"/>
              </w:tabs>
              <w:spacing w:line="320" w:lineRule="exact"/>
              <w:ind w:firstLine="0" w:firstLineChars="0"/>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天气</w:t>
            </w:r>
          </w:p>
        </w:tc>
        <w:tc>
          <w:tcPr>
            <w:tcW w:w="1210" w:type="dxa"/>
            <w:vAlign w:val="center"/>
          </w:tcPr>
          <w:p w14:paraId="5F239956">
            <w:pPr>
              <w:tabs>
                <w:tab w:val="left" w:pos="3163"/>
              </w:tabs>
              <w:spacing w:line="320" w:lineRule="exact"/>
              <w:ind w:firstLine="0" w:firstLineChars="0"/>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风速（m/s）</w:t>
            </w:r>
          </w:p>
        </w:tc>
      </w:tr>
      <w:tr w14:paraId="3E72A3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284" w:type="dxa"/>
            <w:vMerge w:val="restart"/>
            <w:vAlign w:val="center"/>
          </w:tcPr>
          <w:p w14:paraId="001138FE">
            <w:pPr>
              <w:snapToGrid w:val="0"/>
              <w:spacing w:line="320" w:lineRule="exact"/>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202</w:t>
            </w:r>
            <w:r>
              <w:rPr>
                <w:rFonts w:hint="default" w:ascii="Times New Roman" w:hAnsi="Times New Roman" w:eastAsia="仿宋" w:cs="Times New Roman"/>
                <w:sz w:val="21"/>
                <w:szCs w:val="21"/>
                <w:lang w:val="en-US" w:eastAsia="zh-CN"/>
              </w:rPr>
              <w:t>5</w:t>
            </w:r>
            <w:r>
              <w:rPr>
                <w:rFonts w:hint="default" w:ascii="Times New Roman" w:hAnsi="Times New Roman" w:eastAsia="仿宋" w:cs="Times New Roman"/>
                <w:sz w:val="21"/>
                <w:szCs w:val="21"/>
              </w:rPr>
              <w:t>.0</w:t>
            </w:r>
            <w:r>
              <w:rPr>
                <w:rFonts w:hint="default" w:ascii="Times New Roman" w:hAnsi="Times New Roman" w:eastAsia="仿宋" w:cs="Times New Roman"/>
                <w:sz w:val="21"/>
                <w:szCs w:val="21"/>
                <w:lang w:val="en-US" w:eastAsia="zh-CN"/>
              </w:rPr>
              <w:t>9</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2</w:t>
            </w:r>
            <w:r>
              <w:rPr>
                <w:rFonts w:hint="default" w:ascii="Times New Roman" w:hAnsi="Times New Roman" w:eastAsia="仿宋" w:cs="Times New Roman"/>
                <w:sz w:val="21"/>
                <w:szCs w:val="21"/>
              </w:rPr>
              <w:t>8</w:t>
            </w:r>
          </w:p>
        </w:tc>
        <w:tc>
          <w:tcPr>
            <w:tcW w:w="1133" w:type="dxa"/>
            <w:vAlign w:val="center"/>
          </w:tcPr>
          <w:p w14:paraId="1CC78D11">
            <w:pPr>
              <w:pStyle w:val="45"/>
              <w:keepNext w:val="0"/>
              <w:keepLines w:val="0"/>
              <w:pageBreakBefore w:val="0"/>
              <w:widowControl w:val="0"/>
              <w:kinsoku/>
              <w:wordWrap/>
              <w:overflowPunct/>
              <w:topLinePunct w:val="0"/>
              <w:bidi w:val="0"/>
              <w:adjustRightInd w:val="0"/>
              <w:snapToGrid/>
              <w:spacing w:before="0"/>
              <w:ind w:left="0" w:leftChars="0" w:right="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13:17</w:t>
            </w:r>
          </w:p>
        </w:tc>
        <w:tc>
          <w:tcPr>
            <w:tcW w:w="1023" w:type="dxa"/>
            <w:vAlign w:val="center"/>
          </w:tcPr>
          <w:p w14:paraId="56DCE52B">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27.6</w:t>
            </w:r>
          </w:p>
        </w:tc>
        <w:tc>
          <w:tcPr>
            <w:tcW w:w="1133" w:type="dxa"/>
            <w:vAlign w:val="center"/>
          </w:tcPr>
          <w:p w14:paraId="632F6220">
            <w:pPr>
              <w:pStyle w:val="45"/>
              <w:keepNext w:val="0"/>
              <w:keepLines w:val="0"/>
              <w:pageBreakBefore w:val="0"/>
              <w:widowControl w:val="0"/>
              <w:kinsoku/>
              <w:wordWrap/>
              <w:overflowPunct/>
              <w:topLinePunct w:val="0"/>
              <w:bidi w:val="0"/>
              <w:adjustRightInd w:val="0"/>
              <w:snapToGrid/>
              <w:spacing w:before="0"/>
              <w:ind w:left="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100.6</w:t>
            </w:r>
          </w:p>
        </w:tc>
        <w:tc>
          <w:tcPr>
            <w:tcW w:w="1133" w:type="dxa"/>
            <w:vAlign w:val="center"/>
          </w:tcPr>
          <w:p w14:paraId="70BD2779">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65.2</w:t>
            </w:r>
          </w:p>
        </w:tc>
        <w:tc>
          <w:tcPr>
            <w:tcW w:w="952" w:type="dxa"/>
            <w:vAlign w:val="center"/>
          </w:tcPr>
          <w:p w14:paraId="586C6868">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东风</w:t>
            </w:r>
          </w:p>
        </w:tc>
        <w:tc>
          <w:tcPr>
            <w:tcW w:w="796" w:type="dxa"/>
            <w:vAlign w:val="center"/>
          </w:tcPr>
          <w:p w14:paraId="4C5971D9">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多云</w:t>
            </w:r>
          </w:p>
        </w:tc>
        <w:tc>
          <w:tcPr>
            <w:tcW w:w="1210" w:type="dxa"/>
            <w:vAlign w:val="center"/>
          </w:tcPr>
          <w:p w14:paraId="14BAC0F8">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2.3</w:t>
            </w:r>
          </w:p>
        </w:tc>
      </w:tr>
      <w:tr w14:paraId="138852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1284" w:type="dxa"/>
            <w:vMerge w:val="continue"/>
            <w:vAlign w:val="center"/>
          </w:tcPr>
          <w:p w14:paraId="6AF64D0B">
            <w:pPr>
              <w:snapToGrid w:val="0"/>
              <w:spacing w:line="320" w:lineRule="exact"/>
              <w:ind w:firstLine="0" w:firstLineChars="0"/>
              <w:jc w:val="center"/>
              <w:rPr>
                <w:rFonts w:hint="default" w:ascii="Times New Roman" w:hAnsi="Times New Roman" w:eastAsia="仿宋" w:cs="Times New Roman"/>
                <w:sz w:val="21"/>
                <w:szCs w:val="21"/>
              </w:rPr>
            </w:pPr>
          </w:p>
        </w:tc>
        <w:tc>
          <w:tcPr>
            <w:tcW w:w="1133" w:type="dxa"/>
            <w:vAlign w:val="center"/>
          </w:tcPr>
          <w:p w14:paraId="572B8018">
            <w:pPr>
              <w:pStyle w:val="45"/>
              <w:keepNext w:val="0"/>
              <w:keepLines w:val="0"/>
              <w:pageBreakBefore w:val="0"/>
              <w:widowControl w:val="0"/>
              <w:kinsoku/>
              <w:wordWrap/>
              <w:overflowPunct/>
              <w:topLinePunct w:val="0"/>
              <w:bidi w:val="0"/>
              <w:adjustRightInd w:val="0"/>
              <w:snapToGrid/>
              <w:spacing w:before="0"/>
              <w:ind w:left="0" w:leftChars="0" w:right="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14:31</w:t>
            </w:r>
          </w:p>
        </w:tc>
        <w:tc>
          <w:tcPr>
            <w:tcW w:w="1023" w:type="dxa"/>
            <w:vAlign w:val="center"/>
          </w:tcPr>
          <w:p w14:paraId="6949FF41">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27.9</w:t>
            </w:r>
          </w:p>
        </w:tc>
        <w:tc>
          <w:tcPr>
            <w:tcW w:w="1133" w:type="dxa"/>
            <w:vAlign w:val="center"/>
          </w:tcPr>
          <w:p w14:paraId="0014BEA6">
            <w:pPr>
              <w:pStyle w:val="45"/>
              <w:keepNext w:val="0"/>
              <w:keepLines w:val="0"/>
              <w:pageBreakBefore w:val="0"/>
              <w:widowControl w:val="0"/>
              <w:kinsoku/>
              <w:wordWrap/>
              <w:overflowPunct/>
              <w:topLinePunct w:val="0"/>
              <w:bidi w:val="0"/>
              <w:adjustRightInd w:val="0"/>
              <w:snapToGrid/>
              <w:spacing w:before="0"/>
              <w:ind w:left="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100.5</w:t>
            </w:r>
          </w:p>
        </w:tc>
        <w:tc>
          <w:tcPr>
            <w:tcW w:w="1133" w:type="dxa"/>
            <w:vAlign w:val="center"/>
          </w:tcPr>
          <w:p w14:paraId="0D5827F4">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64.9</w:t>
            </w:r>
          </w:p>
        </w:tc>
        <w:tc>
          <w:tcPr>
            <w:tcW w:w="952" w:type="dxa"/>
            <w:vAlign w:val="center"/>
          </w:tcPr>
          <w:p w14:paraId="40FAB3D3">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东风</w:t>
            </w:r>
          </w:p>
        </w:tc>
        <w:tc>
          <w:tcPr>
            <w:tcW w:w="796" w:type="dxa"/>
            <w:vAlign w:val="center"/>
          </w:tcPr>
          <w:p w14:paraId="334575F8">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多云</w:t>
            </w:r>
          </w:p>
        </w:tc>
        <w:tc>
          <w:tcPr>
            <w:tcW w:w="1210" w:type="dxa"/>
            <w:vAlign w:val="center"/>
          </w:tcPr>
          <w:p w14:paraId="3D855472">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2.4</w:t>
            </w:r>
          </w:p>
        </w:tc>
      </w:tr>
      <w:tr w14:paraId="490D31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284" w:type="dxa"/>
            <w:vMerge w:val="continue"/>
            <w:vAlign w:val="center"/>
          </w:tcPr>
          <w:p w14:paraId="6F737D8F">
            <w:pPr>
              <w:snapToGrid w:val="0"/>
              <w:spacing w:line="320" w:lineRule="exact"/>
              <w:ind w:firstLine="0" w:firstLineChars="0"/>
              <w:jc w:val="center"/>
              <w:rPr>
                <w:rFonts w:hint="default" w:ascii="Times New Roman" w:hAnsi="Times New Roman" w:eastAsia="仿宋" w:cs="Times New Roman"/>
                <w:sz w:val="21"/>
                <w:szCs w:val="21"/>
              </w:rPr>
            </w:pPr>
          </w:p>
        </w:tc>
        <w:tc>
          <w:tcPr>
            <w:tcW w:w="1133" w:type="dxa"/>
            <w:vAlign w:val="center"/>
          </w:tcPr>
          <w:p w14:paraId="3741A844">
            <w:pPr>
              <w:pStyle w:val="45"/>
              <w:keepNext w:val="0"/>
              <w:keepLines w:val="0"/>
              <w:pageBreakBefore w:val="0"/>
              <w:widowControl w:val="0"/>
              <w:kinsoku/>
              <w:wordWrap/>
              <w:overflowPunct/>
              <w:topLinePunct w:val="0"/>
              <w:bidi w:val="0"/>
              <w:adjustRightInd w:val="0"/>
              <w:snapToGrid/>
              <w:spacing w:before="0"/>
              <w:ind w:left="0" w:leftChars="0" w:right="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15:44</w:t>
            </w:r>
          </w:p>
        </w:tc>
        <w:tc>
          <w:tcPr>
            <w:tcW w:w="1023" w:type="dxa"/>
            <w:vAlign w:val="center"/>
          </w:tcPr>
          <w:p w14:paraId="632C8EA5">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26.8</w:t>
            </w:r>
          </w:p>
        </w:tc>
        <w:tc>
          <w:tcPr>
            <w:tcW w:w="1133" w:type="dxa"/>
            <w:vAlign w:val="center"/>
          </w:tcPr>
          <w:p w14:paraId="04BD2AF5">
            <w:pPr>
              <w:pStyle w:val="45"/>
              <w:keepNext w:val="0"/>
              <w:keepLines w:val="0"/>
              <w:pageBreakBefore w:val="0"/>
              <w:widowControl w:val="0"/>
              <w:kinsoku/>
              <w:wordWrap/>
              <w:overflowPunct/>
              <w:topLinePunct w:val="0"/>
              <w:bidi w:val="0"/>
              <w:adjustRightInd w:val="0"/>
              <w:snapToGrid/>
              <w:spacing w:before="0"/>
              <w:ind w:left="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100.7</w:t>
            </w:r>
          </w:p>
        </w:tc>
        <w:tc>
          <w:tcPr>
            <w:tcW w:w="1133" w:type="dxa"/>
            <w:vAlign w:val="center"/>
          </w:tcPr>
          <w:p w14:paraId="6A889FBC">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65.6</w:t>
            </w:r>
          </w:p>
        </w:tc>
        <w:tc>
          <w:tcPr>
            <w:tcW w:w="952" w:type="dxa"/>
            <w:vAlign w:val="center"/>
          </w:tcPr>
          <w:p w14:paraId="51EABBEB">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东风</w:t>
            </w:r>
          </w:p>
        </w:tc>
        <w:tc>
          <w:tcPr>
            <w:tcW w:w="796" w:type="dxa"/>
            <w:vAlign w:val="center"/>
          </w:tcPr>
          <w:p w14:paraId="3B13CE55">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多云</w:t>
            </w:r>
          </w:p>
        </w:tc>
        <w:tc>
          <w:tcPr>
            <w:tcW w:w="1210" w:type="dxa"/>
            <w:vAlign w:val="center"/>
          </w:tcPr>
          <w:p w14:paraId="0ADAD260">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2.3</w:t>
            </w:r>
          </w:p>
        </w:tc>
      </w:tr>
      <w:tr w14:paraId="4EC39D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284" w:type="dxa"/>
            <w:vMerge w:val="restart"/>
            <w:vAlign w:val="center"/>
          </w:tcPr>
          <w:p w14:paraId="018169C9">
            <w:pPr>
              <w:spacing w:line="320" w:lineRule="exact"/>
              <w:ind w:firstLine="0" w:firstLineChars="0"/>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202</w:t>
            </w:r>
            <w:r>
              <w:rPr>
                <w:rFonts w:hint="default" w:ascii="Times New Roman" w:hAnsi="Times New Roman" w:eastAsia="仿宋" w:cs="Times New Roman"/>
                <w:sz w:val="21"/>
                <w:szCs w:val="21"/>
                <w:lang w:val="en-US" w:eastAsia="zh-CN"/>
              </w:rPr>
              <w:t>5</w:t>
            </w:r>
            <w:r>
              <w:rPr>
                <w:rFonts w:hint="default" w:ascii="Times New Roman" w:hAnsi="Times New Roman" w:eastAsia="仿宋" w:cs="Times New Roman"/>
                <w:sz w:val="21"/>
                <w:szCs w:val="21"/>
              </w:rPr>
              <w:t>.0</w:t>
            </w:r>
            <w:r>
              <w:rPr>
                <w:rFonts w:hint="default" w:ascii="Times New Roman" w:hAnsi="Times New Roman" w:eastAsia="仿宋" w:cs="Times New Roman"/>
                <w:sz w:val="21"/>
                <w:szCs w:val="21"/>
                <w:lang w:val="en-US" w:eastAsia="zh-CN"/>
              </w:rPr>
              <w:t>9</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29</w:t>
            </w:r>
          </w:p>
        </w:tc>
        <w:tc>
          <w:tcPr>
            <w:tcW w:w="1133" w:type="dxa"/>
            <w:vAlign w:val="center"/>
          </w:tcPr>
          <w:p w14:paraId="119F672A">
            <w:pPr>
              <w:pStyle w:val="45"/>
              <w:keepNext w:val="0"/>
              <w:keepLines w:val="0"/>
              <w:pageBreakBefore w:val="0"/>
              <w:widowControl w:val="0"/>
              <w:kinsoku/>
              <w:wordWrap/>
              <w:overflowPunct/>
              <w:topLinePunct w:val="0"/>
              <w:bidi w:val="0"/>
              <w:adjustRightInd w:val="0"/>
              <w:snapToGrid/>
              <w:spacing w:before="0"/>
              <w:ind w:left="0" w:leftChars="0" w:right="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13:02</w:t>
            </w:r>
          </w:p>
        </w:tc>
        <w:tc>
          <w:tcPr>
            <w:tcW w:w="1023" w:type="dxa"/>
            <w:vAlign w:val="center"/>
          </w:tcPr>
          <w:p w14:paraId="21F0B16B">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23.2</w:t>
            </w:r>
          </w:p>
        </w:tc>
        <w:tc>
          <w:tcPr>
            <w:tcW w:w="1133" w:type="dxa"/>
            <w:vAlign w:val="center"/>
          </w:tcPr>
          <w:p w14:paraId="4658585F">
            <w:pPr>
              <w:pStyle w:val="45"/>
              <w:keepNext w:val="0"/>
              <w:keepLines w:val="0"/>
              <w:pageBreakBefore w:val="0"/>
              <w:widowControl w:val="0"/>
              <w:kinsoku/>
              <w:wordWrap/>
              <w:overflowPunct/>
              <w:topLinePunct w:val="0"/>
              <w:bidi w:val="0"/>
              <w:adjustRightInd w:val="0"/>
              <w:snapToGrid/>
              <w:spacing w:before="0"/>
              <w:ind w:left="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101.1</w:t>
            </w:r>
          </w:p>
        </w:tc>
        <w:tc>
          <w:tcPr>
            <w:tcW w:w="1133" w:type="dxa"/>
            <w:vAlign w:val="center"/>
          </w:tcPr>
          <w:p w14:paraId="2F621798">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65.3</w:t>
            </w:r>
          </w:p>
        </w:tc>
        <w:tc>
          <w:tcPr>
            <w:tcW w:w="952" w:type="dxa"/>
            <w:vAlign w:val="center"/>
          </w:tcPr>
          <w:p w14:paraId="2131844C">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西北风</w:t>
            </w:r>
          </w:p>
        </w:tc>
        <w:tc>
          <w:tcPr>
            <w:tcW w:w="796" w:type="dxa"/>
            <w:vAlign w:val="center"/>
          </w:tcPr>
          <w:p w14:paraId="436F5DC1">
            <w:pPr>
              <w:pStyle w:val="45"/>
              <w:keepNext w:val="0"/>
              <w:keepLines w:val="0"/>
              <w:pageBreakBefore w:val="0"/>
              <w:widowControl w:val="0"/>
              <w:kinsoku/>
              <w:wordWrap/>
              <w:overflowPunct/>
              <w:topLinePunct w:val="0"/>
              <w:bidi w:val="0"/>
              <w:adjustRightInd w:val="0"/>
              <w:snapToGrid/>
              <w:spacing w:before="0"/>
              <w:ind w:left="0" w:leftChars="0" w:right="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w w:val="99"/>
                <w:sz w:val="21"/>
              </w:rPr>
              <w:t>阴</w:t>
            </w:r>
          </w:p>
        </w:tc>
        <w:tc>
          <w:tcPr>
            <w:tcW w:w="1210" w:type="dxa"/>
            <w:vAlign w:val="center"/>
          </w:tcPr>
          <w:p w14:paraId="251A9446">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2.2</w:t>
            </w:r>
          </w:p>
        </w:tc>
      </w:tr>
      <w:tr w14:paraId="1A47D3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284" w:type="dxa"/>
            <w:vMerge w:val="continue"/>
            <w:vAlign w:val="center"/>
          </w:tcPr>
          <w:p w14:paraId="78344202">
            <w:pPr>
              <w:snapToGrid w:val="0"/>
              <w:spacing w:line="320" w:lineRule="exact"/>
              <w:ind w:firstLine="0" w:firstLineChars="0"/>
              <w:jc w:val="center"/>
              <w:rPr>
                <w:rFonts w:hint="default" w:ascii="Times New Roman" w:hAnsi="Times New Roman" w:eastAsia="仿宋" w:cs="Times New Roman"/>
                <w:sz w:val="21"/>
                <w:szCs w:val="21"/>
              </w:rPr>
            </w:pPr>
          </w:p>
        </w:tc>
        <w:tc>
          <w:tcPr>
            <w:tcW w:w="1133" w:type="dxa"/>
            <w:vAlign w:val="center"/>
          </w:tcPr>
          <w:p w14:paraId="243601CD">
            <w:pPr>
              <w:pStyle w:val="45"/>
              <w:keepNext w:val="0"/>
              <w:keepLines w:val="0"/>
              <w:pageBreakBefore w:val="0"/>
              <w:widowControl w:val="0"/>
              <w:kinsoku/>
              <w:wordWrap/>
              <w:overflowPunct/>
              <w:topLinePunct w:val="0"/>
              <w:bidi w:val="0"/>
              <w:adjustRightInd w:val="0"/>
              <w:snapToGrid/>
              <w:spacing w:before="0"/>
              <w:ind w:left="0" w:leftChars="0" w:right="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14:17</w:t>
            </w:r>
          </w:p>
        </w:tc>
        <w:tc>
          <w:tcPr>
            <w:tcW w:w="1023" w:type="dxa"/>
            <w:vAlign w:val="center"/>
          </w:tcPr>
          <w:p w14:paraId="28384B82">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23.6</w:t>
            </w:r>
          </w:p>
        </w:tc>
        <w:tc>
          <w:tcPr>
            <w:tcW w:w="1133" w:type="dxa"/>
            <w:vAlign w:val="center"/>
          </w:tcPr>
          <w:p w14:paraId="18CE32DB">
            <w:pPr>
              <w:pStyle w:val="45"/>
              <w:keepNext w:val="0"/>
              <w:keepLines w:val="0"/>
              <w:pageBreakBefore w:val="0"/>
              <w:widowControl w:val="0"/>
              <w:kinsoku/>
              <w:wordWrap/>
              <w:overflowPunct/>
              <w:topLinePunct w:val="0"/>
              <w:bidi w:val="0"/>
              <w:adjustRightInd w:val="0"/>
              <w:snapToGrid/>
              <w:spacing w:before="0"/>
              <w:ind w:left="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101.0</w:t>
            </w:r>
          </w:p>
        </w:tc>
        <w:tc>
          <w:tcPr>
            <w:tcW w:w="1133" w:type="dxa"/>
            <w:vAlign w:val="center"/>
          </w:tcPr>
          <w:p w14:paraId="4D85FFBB">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67.2</w:t>
            </w:r>
          </w:p>
        </w:tc>
        <w:tc>
          <w:tcPr>
            <w:tcW w:w="952" w:type="dxa"/>
            <w:vAlign w:val="center"/>
          </w:tcPr>
          <w:p w14:paraId="642DE65E">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西北风</w:t>
            </w:r>
          </w:p>
        </w:tc>
        <w:tc>
          <w:tcPr>
            <w:tcW w:w="796" w:type="dxa"/>
            <w:vAlign w:val="center"/>
          </w:tcPr>
          <w:p w14:paraId="6F9A7EF5">
            <w:pPr>
              <w:pStyle w:val="45"/>
              <w:keepNext w:val="0"/>
              <w:keepLines w:val="0"/>
              <w:pageBreakBefore w:val="0"/>
              <w:widowControl w:val="0"/>
              <w:kinsoku/>
              <w:wordWrap/>
              <w:overflowPunct/>
              <w:topLinePunct w:val="0"/>
              <w:bidi w:val="0"/>
              <w:adjustRightInd w:val="0"/>
              <w:snapToGrid/>
              <w:spacing w:before="0"/>
              <w:ind w:left="0" w:leftChars="0" w:right="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w w:val="99"/>
                <w:sz w:val="21"/>
              </w:rPr>
              <w:t>阴</w:t>
            </w:r>
          </w:p>
        </w:tc>
        <w:tc>
          <w:tcPr>
            <w:tcW w:w="1210" w:type="dxa"/>
            <w:vAlign w:val="center"/>
          </w:tcPr>
          <w:p w14:paraId="72D0B7D4">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2.2</w:t>
            </w:r>
          </w:p>
        </w:tc>
      </w:tr>
      <w:tr w14:paraId="6A4133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284" w:type="dxa"/>
            <w:vMerge w:val="continue"/>
            <w:vAlign w:val="center"/>
          </w:tcPr>
          <w:p w14:paraId="56F9CF13">
            <w:pPr>
              <w:snapToGrid w:val="0"/>
              <w:spacing w:line="320" w:lineRule="exact"/>
              <w:ind w:firstLine="0" w:firstLineChars="0"/>
              <w:jc w:val="center"/>
              <w:rPr>
                <w:rFonts w:hint="default" w:ascii="Times New Roman" w:hAnsi="Times New Roman" w:eastAsia="仿宋" w:cs="Times New Roman"/>
                <w:sz w:val="21"/>
                <w:szCs w:val="21"/>
              </w:rPr>
            </w:pPr>
          </w:p>
        </w:tc>
        <w:tc>
          <w:tcPr>
            <w:tcW w:w="1133" w:type="dxa"/>
            <w:vAlign w:val="center"/>
          </w:tcPr>
          <w:p w14:paraId="1B9D9985">
            <w:pPr>
              <w:pStyle w:val="45"/>
              <w:keepNext w:val="0"/>
              <w:keepLines w:val="0"/>
              <w:pageBreakBefore w:val="0"/>
              <w:widowControl w:val="0"/>
              <w:kinsoku/>
              <w:wordWrap/>
              <w:overflowPunct/>
              <w:topLinePunct w:val="0"/>
              <w:bidi w:val="0"/>
              <w:adjustRightInd w:val="0"/>
              <w:snapToGrid/>
              <w:spacing w:before="0"/>
              <w:ind w:left="0" w:leftChars="0" w:right="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15:29</w:t>
            </w:r>
          </w:p>
        </w:tc>
        <w:tc>
          <w:tcPr>
            <w:tcW w:w="1023" w:type="dxa"/>
            <w:vAlign w:val="center"/>
          </w:tcPr>
          <w:p w14:paraId="01CA6D65">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22.9</w:t>
            </w:r>
          </w:p>
        </w:tc>
        <w:tc>
          <w:tcPr>
            <w:tcW w:w="1133" w:type="dxa"/>
            <w:vAlign w:val="center"/>
          </w:tcPr>
          <w:p w14:paraId="2A800F4F">
            <w:pPr>
              <w:pStyle w:val="45"/>
              <w:keepNext w:val="0"/>
              <w:keepLines w:val="0"/>
              <w:pageBreakBefore w:val="0"/>
              <w:widowControl w:val="0"/>
              <w:kinsoku/>
              <w:wordWrap/>
              <w:overflowPunct/>
              <w:topLinePunct w:val="0"/>
              <w:bidi w:val="0"/>
              <w:adjustRightInd w:val="0"/>
              <w:snapToGrid/>
              <w:spacing w:before="0"/>
              <w:ind w:left="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101.1</w:t>
            </w:r>
          </w:p>
        </w:tc>
        <w:tc>
          <w:tcPr>
            <w:tcW w:w="1133" w:type="dxa"/>
            <w:vAlign w:val="center"/>
          </w:tcPr>
          <w:p w14:paraId="3F915970">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68.4</w:t>
            </w:r>
          </w:p>
        </w:tc>
        <w:tc>
          <w:tcPr>
            <w:tcW w:w="952" w:type="dxa"/>
            <w:vAlign w:val="center"/>
          </w:tcPr>
          <w:p w14:paraId="0723CC7D">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西北风</w:t>
            </w:r>
          </w:p>
        </w:tc>
        <w:tc>
          <w:tcPr>
            <w:tcW w:w="796" w:type="dxa"/>
            <w:vAlign w:val="center"/>
          </w:tcPr>
          <w:p w14:paraId="3F90C73F">
            <w:pPr>
              <w:pStyle w:val="45"/>
              <w:keepNext w:val="0"/>
              <w:keepLines w:val="0"/>
              <w:pageBreakBefore w:val="0"/>
              <w:widowControl w:val="0"/>
              <w:kinsoku/>
              <w:wordWrap/>
              <w:overflowPunct/>
              <w:topLinePunct w:val="0"/>
              <w:bidi w:val="0"/>
              <w:adjustRightInd w:val="0"/>
              <w:snapToGrid/>
              <w:spacing w:before="0"/>
              <w:ind w:left="0" w:leftChars="0" w:right="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w w:val="99"/>
                <w:sz w:val="21"/>
              </w:rPr>
              <w:t>阴</w:t>
            </w:r>
          </w:p>
        </w:tc>
        <w:tc>
          <w:tcPr>
            <w:tcW w:w="1210" w:type="dxa"/>
            <w:vAlign w:val="center"/>
          </w:tcPr>
          <w:p w14:paraId="0D898431">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2.3</w:t>
            </w:r>
          </w:p>
        </w:tc>
      </w:tr>
    </w:tbl>
    <w:p w14:paraId="2E831E48">
      <w:pPr>
        <w:spacing w:line="360" w:lineRule="auto"/>
        <w:ind w:firstLine="360"/>
        <w:rPr>
          <w:rFonts w:hint="default" w:ascii="Times New Roman" w:hAnsi="Times New Roman" w:cs="Times New Roman"/>
          <w:color w:val="000000"/>
          <w:sz w:val="18"/>
          <w:szCs w:val="18"/>
        </w:rPr>
        <w:sectPr>
          <w:pgSz w:w="11906" w:h="16838"/>
          <w:pgMar w:top="1440" w:right="1797" w:bottom="1440" w:left="1797" w:header="851" w:footer="992" w:gutter="0"/>
          <w:cols w:space="425" w:num="1"/>
          <w:docGrid w:type="lines" w:linePitch="326" w:charSpace="0"/>
        </w:sectPr>
      </w:pPr>
    </w:p>
    <w:p w14:paraId="7E8CD2BD">
      <w:pPr>
        <w:spacing w:line="240" w:lineRule="auto"/>
        <w:ind w:firstLine="0" w:firstLineChars="0"/>
        <w:jc w:val="center"/>
        <w:rPr>
          <w:rFonts w:hint="default" w:ascii="Times New Roman" w:hAnsi="Times New Roman" w:cs="Times New Roman"/>
          <w:b/>
          <w:bCs/>
          <w:color w:val="000000"/>
        </w:rPr>
      </w:pPr>
      <w:r>
        <w:rPr>
          <w:rFonts w:hint="default" w:ascii="Times New Roman" w:hAnsi="Times New Roman" w:cs="Times New Roman"/>
          <w:b/>
          <w:bCs/>
          <w:color w:val="000000"/>
        </w:rPr>
        <w:t>表9.2-7  无组织废气监测结果</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55"/>
        <w:gridCol w:w="793"/>
        <w:gridCol w:w="1028"/>
        <w:gridCol w:w="809"/>
        <w:gridCol w:w="901"/>
        <w:gridCol w:w="936"/>
        <w:gridCol w:w="820"/>
        <w:gridCol w:w="867"/>
        <w:gridCol w:w="693"/>
        <w:gridCol w:w="716"/>
        <w:gridCol w:w="844"/>
        <w:gridCol w:w="786"/>
        <w:gridCol w:w="844"/>
        <w:gridCol w:w="797"/>
        <w:gridCol w:w="636"/>
        <w:gridCol w:w="647"/>
        <w:gridCol w:w="786"/>
      </w:tblGrid>
      <w:tr w14:paraId="5FDF0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27" w:hRule="atLeast"/>
          <w:jc w:val="center"/>
        </w:trPr>
        <w:tc>
          <w:tcPr>
            <w:tcW w:w="1055" w:type="dxa"/>
            <w:vMerge w:val="restart"/>
            <w:tcBorders>
              <w:top w:val="single" w:color="auto" w:sz="12" w:space="0"/>
              <w:left w:val="nil"/>
              <w:bottom w:val="single" w:color="auto" w:sz="4" w:space="0"/>
              <w:right w:val="single" w:color="auto" w:sz="4" w:space="0"/>
            </w:tcBorders>
            <w:vAlign w:val="center"/>
          </w:tcPr>
          <w:p w14:paraId="0119C409">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监测</w:t>
            </w:r>
          </w:p>
          <w:p w14:paraId="71BD47CE">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点位</w:t>
            </w:r>
          </w:p>
        </w:tc>
        <w:tc>
          <w:tcPr>
            <w:tcW w:w="793" w:type="dxa"/>
            <w:vMerge w:val="restart"/>
            <w:tcBorders>
              <w:top w:val="single" w:color="auto" w:sz="12" w:space="0"/>
              <w:left w:val="single" w:color="auto" w:sz="4" w:space="0"/>
              <w:bottom w:val="single" w:color="auto" w:sz="4" w:space="0"/>
              <w:right w:val="single" w:color="auto" w:sz="4" w:space="0"/>
            </w:tcBorders>
            <w:vAlign w:val="center"/>
          </w:tcPr>
          <w:p w14:paraId="2B4CBD89">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监测</w:t>
            </w:r>
          </w:p>
          <w:p w14:paraId="4DA1361D">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日期</w:t>
            </w:r>
          </w:p>
        </w:tc>
        <w:tc>
          <w:tcPr>
            <w:tcW w:w="2738" w:type="dxa"/>
            <w:gridSpan w:val="3"/>
            <w:tcBorders>
              <w:top w:val="single" w:color="auto" w:sz="12" w:space="0"/>
              <w:left w:val="single" w:color="auto" w:sz="4" w:space="0"/>
              <w:bottom w:val="single" w:color="auto" w:sz="4" w:space="0"/>
              <w:right w:val="single" w:color="auto" w:sz="4" w:space="0"/>
            </w:tcBorders>
            <w:vAlign w:val="center"/>
          </w:tcPr>
          <w:p w14:paraId="4B2F5FF7">
            <w:pPr>
              <w:spacing w:line="320" w:lineRule="exact"/>
              <w:ind w:firstLine="0" w:firstLineChars="0"/>
              <w:jc w:val="center"/>
              <w:rPr>
                <w:rFonts w:hint="default" w:ascii="Times New Roman" w:hAnsi="Times New Roman" w:eastAsia="仿宋" w:cs="Times New Roman"/>
                <w:b/>
                <w:bCs/>
                <w:color w:val="000000" w:themeColor="text1"/>
                <w:sz w:val="21"/>
                <w:szCs w:val="21"/>
                <w:lang w:eastAsia="zh-CN"/>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非甲烷总烃</w:t>
            </w:r>
            <w:r>
              <w:rPr>
                <w:rFonts w:hint="default" w:ascii="Times New Roman" w:hAnsi="Times New Roman" w:eastAsia="仿宋" w:cs="Times New Roman"/>
                <w:b/>
                <w:bCs/>
                <w:color w:val="000000" w:themeColor="text1"/>
                <w:sz w:val="21"/>
                <w:szCs w:val="21"/>
                <w:lang w:eastAsia="zh-CN"/>
                <w14:textFill>
                  <w14:solidFill>
                    <w14:schemeClr w14:val="tx1"/>
                  </w14:solidFill>
                </w14:textFill>
              </w:rPr>
              <w:t>（</w:t>
            </w:r>
            <w:r>
              <w:rPr>
                <w:rFonts w:hint="default" w:ascii="Times New Roman" w:hAnsi="Times New Roman" w:eastAsia="仿宋" w:cs="Times New Roman"/>
                <w:b/>
                <w:color w:val="000000" w:themeColor="text1"/>
                <w:sz w:val="21"/>
                <w:szCs w:val="21"/>
                <w14:textFill>
                  <w14:solidFill>
                    <w14:schemeClr w14:val="tx1"/>
                  </w14:solidFill>
                </w14:textFill>
              </w:rPr>
              <w:t>mg/m</w:t>
            </w:r>
            <w:r>
              <w:rPr>
                <w:rFonts w:hint="default" w:ascii="Times New Roman" w:hAnsi="Times New Roman" w:eastAsia="仿宋" w:cs="Times New Roman"/>
                <w:b/>
                <w:color w:val="000000" w:themeColor="text1"/>
                <w:sz w:val="21"/>
                <w:szCs w:val="21"/>
                <w:vertAlign w:val="superscript"/>
                <w14:textFill>
                  <w14:solidFill>
                    <w14:schemeClr w14:val="tx1"/>
                  </w14:solidFill>
                </w14:textFill>
              </w:rPr>
              <w:t>3</w:t>
            </w:r>
            <w:r>
              <w:rPr>
                <w:rFonts w:hint="default" w:ascii="Times New Roman" w:hAnsi="Times New Roman" w:eastAsia="仿宋" w:cs="Times New Roman"/>
                <w:b/>
                <w:bCs/>
                <w:color w:val="000000" w:themeColor="text1"/>
                <w:sz w:val="21"/>
                <w:szCs w:val="21"/>
                <w:lang w:eastAsia="zh-CN"/>
                <w14:textFill>
                  <w14:solidFill>
                    <w14:schemeClr w14:val="tx1"/>
                  </w14:solidFill>
                </w14:textFill>
              </w:rPr>
              <w:t>）</w:t>
            </w:r>
          </w:p>
        </w:tc>
        <w:tc>
          <w:tcPr>
            <w:tcW w:w="2623" w:type="dxa"/>
            <w:gridSpan w:val="3"/>
            <w:tcBorders>
              <w:top w:val="single" w:color="auto" w:sz="12" w:space="0"/>
              <w:left w:val="single" w:color="auto" w:sz="4" w:space="0"/>
              <w:bottom w:val="single" w:color="auto" w:sz="4" w:space="0"/>
              <w:right w:val="nil"/>
            </w:tcBorders>
            <w:vAlign w:val="center"/>
          </w:tcPr>
          <w:p w14:paraId="40714550">
            <w:pPr>
              <w:spacing w:line="320" w:lineRule="exact"/>
              <w:ind w:firstLine="0" w:firstLineChars="0"/>
              <w:jc w:val="center"/>
              <w:rPr>
                <w:rFonts w:hint="default" w:ascii="Times New Roman" w:hAnsi="Times New Roman" w:eastAsia="仿宋"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仿宋" w:cs="Times New Roman"/>
                <w:b/>
                <w:bCs/>
                <w:color w:val="000000" w:themeColor="text1"/>
                <w:sz w:val="21"/>
                <w:szCs w:val="21"/>
                <w:lang w:val="en-US" w:eastAsia="zh-CN"/>
                <w14:textFill>
                  <w14:solidFill>
                    <w14:schemeClr w14:val="tx1"/>
                  </w14:solidFill>
                </w14:textFill>
              </w:rPr>
              <w:t>氨</w:t>
            </w:r>
            <w:r>
              <w:rPr>
                <w:rFonts w:hint="default" w:ascii="Times New Roman" w:hAnsi="Times New Roman" w:eastAsia="仿宋" w:cs="Times New Roman"/>
                <w:b/>
                <w:bCs/>
                <w:color w:val="000000" w:themeColor="text1"/>
                <w:sz w:val="21"/>
                <w:szCs w:val="21"/>
                <w:lang w:eastAsia="zh-CN"/>
                <w14:textFill>
                  <w14:solidFill>
                    <w14:schemeClr w14:val="tx1"/>
                  </w14:solidFill>
                </w14:textFill>
              </w:rPr>
              <w:t>（</w:t>
            </w:r>
            <w:r>
              <w:rPr>
                <w:rFonts w:hint="default" w:ascii="Times New Roman" w:hAnsi="Times New Roman" w:eastAsia="仿宋" w:cs="Times New Roman"/>
                <w:b/>
                <w:color w:val="000000" w:themeColor="text1"/>
                <w:sz w:val="21"/>
                <w:szCs w:val="21"/>
                <w14:textFill>
                  <w14:solidFill>
                    <w14:schemeClr w14:val="tx1"/>
                  </w14:solidFill>
                </w14:textFill>
              </w:rPr>
              <w:t>mg/m</w:t>
            </w:r>
            <w:r>
              <w:rPr>
                <w:rFonts w:hint="default" w:ascii="Times New Roman" w:hAnsi="Times New Roman" w:eastAsia="仿宋" w:cs="Times New Roman"/>
                <w:b/>
                <w:color w:val="000000" w:themeColor="text1"/>
                <w:sz w:val="21"/>
                <w:szCs w:val="21"/>
                <w:vertAlign w:val="superscript"/>
                <w14:textFill>
                  <w14:solidFill>
                    <w14:schemeClr w14:val="tx1"/>
                  </w14:solidFill>
                </w14:textFill>
              </w:rPr>
              <w:t>3</w:t>
            </w:r>
            <w:r>
              <w:rPr>
                <w:rFonts w:hint="default" w:ascii="Times New Roman" w:hAnsi="Times New Roman" w:eastAsia="仿宋" w:cs="Times New Roman"/>
                <w:b/>
                <w:bCs/>
                <w:color w:val="000000" w:themeColor="text1"/>
                <w:sz w:val="21"/>
                <w:szCs w:val="21"/>
                <w:lang w:eastAsia="zh-CN"/>
                <w14:textFill>
                  <w14:solidFill>
                    <w14:schemeClr w14:val="tx1"/>
                  </w14:solidFill>
                </w14:textFill>
              </w:rPr>
              <w:t>）</w:t>
            </w:r>
          </w:p>
        </w:tc>
        <w:tc>
          <w:tcPr>
            <w:tcW w:w="2253" w:type="dxa"/>
            <w:gridSpan w:val="3"/>
            <w:tcBorders>
              <w:top w:val="single" w:color="auto" w:sz="12" w:space="0"/>
              <w:left w:val="single" w:color="auto" w:sz="4" w:space="0"/>
              <w:bottom w:val="single" w:color="auto" w:sz="4" w:space="0"/>
              <w:right w:val="nil"/>
            </w:tcBorders>
            <w:vAlign w:val="center"/>
          </w:tcPr>
          <w:p w14:paraId="15BB854C">
            <w:pPr>
              <w:spacing w:line="320" w:lineRule="exact"/>
              <w:ind w:firstLine="0" w:firstLineChars="0"/>
              <w:jc w:val="center"/>
              <w:rPr>
                <w:rFonts w:hint="default" w:ascii="Times New Roman" w:hAnsi="Times New Roman" w:eastAsia="仿宋" w:cs="Times New Roman"/>
                <w:b/>
                <w:bCs/>
                <w:color w:val="000000" w:themeColor="text1"/>
                <w:sz w:val="21"/>
                <w:szCs w:val="21"/>
                <w:lang w:eastAsia="zh-CN"/>
                <w14:textFill>
                  <w14:solidFill>
                    <w14:schemeClr w14:val="tx1"/>
                  </w14:solidFill>
                </w14:textFill>
              </w:rPr>
            </w:pPr>
            <w:r>
              <w:rPr>
                <w:rFonts w:hint="default" w:ascii="Times New Roman" w:hAnsi="Times New Roman" w:eastAsia="仿宋" w:cs="Times New Roman"/>
                <w:b/>
                <w:bCs/>
                <w:color w:val="000000" w:themeColor="text1"/>
                <w:sz w:val="21"/>
                <w:szCs w:val="21"/>
                <w:lang w:val="en-US" w:eastAsia="zh-CN"/>
                <w14:textFill>
                  <w14:solidFill>
                    <w14:schemeClr w14:val="tx1"/>
                  </w14:solidFill>
                </w14:textFill>
              </w:rPr>
              <w:t>硫化氢</w:t>
            </w:r>
            <w:r>
              <w:rPr>
                <w:rFonts w:hint="default" w:ascii="Times New Roman" w:hAnsi="Times New Roman" w:eastAsia="仿宋" w:cs="Times New Roman"/>
                <w:b/>
                <w:bCs/>
                <w:color w:val="000000" w:themeColor="text1"/>
                <w:sz w:val="21"/>
                <w:szCs w:val="21"/>
                <w:lang w:eastAsia="zh-CN"/>
                <w14:textFill>
                  <w14:solidFill>
                    <w14:schemeClr w14:val="tx1"/>
                  </w14:solidFill>
                </w14:textFill>
              </w:rPr>
              <w:t>（</w:t>
            </w:r>
            <w:r>
              <w:rPr>
                <w:rFonts w:hint="default" w:ascii="Times New Roman" w:hAnsi="Times New Roman" w:eastAsia="仿宋" w:cs="Times New Roman"/>
                <w:b/>
                <w:color w:val="000000" w:themeColor="text1"/>
                <w:sz w:val="21"/>
                <w:szCs w:val="21"/>
                <w14:textFill>
                  <w14:solidFill>
                    <w14:schemeClr w14:val="tx1"/>
                  </w14:solidFill>
                </w14:textFill>
              </w:rPr>
              <w:t>mg/m</w:t>
            </w:r>
            <w:r>
              <w:rPr>
                <w:rFonts w:hint="default" w:ascii="Times New Roman" w:hAnsi="Times New Roman" w:eastAsia="仿宋" w:cs="Times New Roman"/>
                <w:b/>
                <w:color w:val="000000" w:themeColor="text1"/>
                <w:sz w:val="21"/>
                <w:szCs w:val="21"/>
                <w:vertAlign w:val="superscript"/>
                <w14:textFill>
                  <w14:solidFill>
                    <w14:schemeClr w14:val="tx1"/>
                  </w14:solidFill>
                </w14:textFill>
              </w:rPr>
              <w:t>3</w:t>
            </w:r>
            <w:r>
              <w:rPr>
                <w:rFonts w:hint="default" w:ascii="Times New Roman" w:hAnsi="Times New Roman" w:eastAsia="仿宋" w:cs="Times New Roman"/>
                <w:b/>
                <w:bCs/>
                <w:color w:val="000000" w:themeColor="text1"/>
                <w:sz w:val="21"/>
                <w:szCs w:val="21"/>
                <w:lang w:eastAsia="zh-CN"/>
                <w14:textFill>
                  <w14:solidFill>
                    <w14:schemeClr w14:val="tx1"/>
                  </w14:solidFill>
                </w14:textFill>
              </w:rPr>
              <w:t>）</w:t>
            </w:r>
          </w:p>
        </w:tc>
        <w:tc>
          <w:tcPr>
            <w:tcW w:w="2427" w:type="dxa"/>
            <w:gridSpan w:val="3"/>
            <w:tcBorders>
              <w:top w:val="single" w:color="auto" w:sz="12" w:space="0"/>
              <w:left w:val="single" w:color="auto" w:sz="4" w:space="0"/>
              <w:bottom w:val="single" w:color="auto" w:sz="4" w:space="0"/>
              <w:right w:val="nil"/>
            </w:tcBorders>
            <w:vAlign w:val="center"/>
          </w:tcPr>
          <w:p w14:paraId="0BECBEDD">
            <w:pPr>
              <w:pStyle w:val="57"/>
              <w:spacing w:before="0" w:beforeAutospacing="0" w:after="0" w:afterAutospacing="0"/>
              <w:rPr>
                <w:rFonts w:hint="default" w:ascii="Times New Roman" w:hAnsi="Times New Roman" w:eastAsia="仿宋" w:cs="Times New Roman"/>
                <w:b/>
                <w:bCs/>
                <w:color w:val="000000" w:themeColor="text1"/>
                <w:kern w:val="2"/>
                <w:sz w:val="21"/>
                <w:szCs w:val="21"/>
                <w:lang w:eastAsia="zh-CN"/>
                <w14:textFill>
                  <w14:solidFill>
                    <w14:schemeClr w14:val="tx1"/>
                  </w14:solidFill>
                </w14:textFill>
              </w:rPr>
            </w:pPr>
            <w:r>
              <w:rPr>
                <w:rFonts w:hint="default" w:ascii="Times New Roman" w:hAnsi="Times New Roman" w:eastAsia="仿宋" w:cs="Times New Roman"/>
                <w:b/>
                <w:bCs/>
                <w:color w:val="000000" w:themeColor="text1"/>
                <w:kern w:val="2"/>
                <w:sz w:val="21"/>
                <w:szCs w:val="21"/>
                <w14:textFill>
                  <w14:solidFill>
                    <w14:schemeClr w14:val="tx1"/>
                  </w14:solidFill>
                </w14:textFill>
              </w:rPr>
              <w:t>恶臭</w:t>
            </w:r>
            <w:r>
              <w:rPr>
                <w:rFonts w:hint="default" w:ascii="Times New Roman" w:hAnsi="Times New Roman" w:eastAsia="仿宋" w:cs="Times New Roman"/>
                <w:b/>
                <w:bCs/>
                <w:color w:val="000000" w:themeColor="text1"/>
                <w:kern w:val="2"/>
                <w:sz w:val="21"/>
                <w:szCs w:val="21"/>
                <w:lang w:eastAsia="zh-CN"/>
                <w14:textFill>
                  <w14:solidFill>
                    <w14:schemeClr w14:val="tx1"/>
                  </w14:solidFill>
                </w14:textFill>
              </w:rPr>
              <w:t>（</w:t>
            </w:r>
            <w:r>
              <w:rPr>
                <w:rFonts w:hint="default" w:ascii="Times New Roman" w:hAnsi="Times New Roman" w:eastAsia="仿宋" w:cs="Times New Roman"/>
                <w:b/>
                <w:bCs/>
                <w:color w:val="000000" w:themeColor="text1"/>
                <w:kern w:val="2"/>
                <w:sz w:val="21"/>
                <w:szCs w:val="21"/>
                <w:lang w:val="en-US" w:eastAsia="zh-CN"/>
                <w14:textFill>
                  <w14:solidFill>
                    <w14:schemeClr w14:val="tx1"/>
                  </w14:solidFill>
                </w14:textFill>
              </w:rPr>
              <w:t>无量纲</w:t>
            </w:r>
            <w:r>
              <w:rPr>
                <w:rFonts w:hint="default" w:ascii="Times New Roman" w:hAnsi="Times New Roman" w:eastAsia="仿宋" w:cs="Times New Roman"/>
                <w:b/>
                <w:bCs/>
                <w:color w:val="000000" w:themeColor="text1"/>
                <w:kern w:val="2"/>
                <w:sz w:val="21"/>
                <w:szCs w:val="21"/>
                <w:lang w:eastAsia="zh-CN"/>
                <w14:textFill>
                  <w14:solidFill>
                    <w14:schemeClr w14:val="tx1"/>
                  </w14:solidFill>
                </w14:textFill>
              </w:rPr>
              <w:t>）</w:t>
            </w:r>
          </w:p>
        </w:tc>
        <w:tc>
          <w:tcPr>
            <w:tcW w:w="2069" w:type="dxa"/>
            <w:gridSpan w:val="3"/>
            <w:tcBorders>
              <w:top w:val="single" w:color="auto" w:sz="12" w:space="0"/>
              <w:left w:val="single" w:color="auto" w:sz="4" w:space="0"/>
              <w:bottom w:val="single" w:color="auto" w:sz="4" w:space="0"/>
              <w:right w:val="nil"/>
            </w:tcBorders>
            <w:vAlign w:val="center"/>
          </w:tcPr>
          <w:p w14:paraId="4B3EFBAD">
            <w:pPr>
              <w:pStyle w:val="57"/>
              <w:spacing w:before="0" w:beforeAutospacing="0" w:after="0" w:afterAutospacing="0"/>
              <w:rPr>
                <w:rFonts w:hint="default" w:ascii="Times New Roman" w:hAnsi="Times New Roman" w:eastAsia="仿宋" w:cs="Times New Roman"/>
                <w:b/>
                <w:bCs/>
                <w:color w:val="000000" w:themeColor="text1"/>
                <w:kern w:val="2"/>
                <w:sz w:val="21"/>
                <w:szCs w:val="21"/>
                <w14:textFill>
                  <w14:solidFill>
                    <w14:schemeClr w14:val="tx1"/>
                  </w14:solidFill>
                </w14:textFill>
              </w:rPr>
            </w:pPr>
            <w:r>
              <w:rPr>
                <w:rFonts w:hint="eastAsia" w:ascii="Times New Roman" w:hAnsi="Times New Roman" w:eastAsia="仿宋" w:cs="Times New Roman"/>
                <w:b/>
                <w:bCs/>
                <w:color w:val="000000" w:themeColor="text1"/>
                <w:kern w:val="2"/>
                <w:sz w:val="21"/>
                <w:szCs w:val="21"/>
                <w:lang w:eastAsia="zh-CN"/>
                <w14:textFill>
                  <w14:solidFill>
                    <w14:schemeClr w14:val="tx1"/>
                  </w14:solidFill>
                </w14:textFill>
              </w:rPr>
              <w:t>*</w:t>
            </w:r>
            <w:r>
              <w:rPr>
                <w:rFonts w:hint="default" w:ascii="Times New Roman" w:hAnsi="Times New Roman" w:eastAsia="仿宋" w:cs="Times New Roman"/>
                <w:b/>
                <w:bCs/>
                <w:color w:val="000000" w:themeColor="text1"/>
                <w:sz w:val="21"/>
                <w:szCs w:val="21"/>
                <w:lang w:eastAsia="zh-CN"/>
                <w14:textFill>
                  <w14:solidFill>
                    <w14:schemeClr w14:val="tx1"/>
                  </w14:solidFill>
                </w14:textFill>
              </w:rPr>
              <w:t>（</w:t>
            </w:r>
            <w:r>
              <w:rPr>
                <w:rFonts w:hint="default" w:ascii="Times New Roman" w:hAnsi="Times New Roman" w:eastAsia="仿宋" w:cs="Times New Roman"/>
                <w:b/>
                <w:bCs/>
                <w:color w:val="000000" w:themeColor="text1"/>
                <w:sz w:val="21"/>
                <w:szCs w:val="21"/>
                <w14:textFill>
                  <w14:solidFill>
                    <w14:schemeClr w14:val="tx1"/>
                  </w14:solidFill>
                </w14:textFill>
              </w:rPr>
              <w:t>μg/m</w:t>
            </w:r>
            <w:r>
              <w:rPr>
                <w:rFonts w:hint="default" w:ascii="Times New Roman" w:hAnsi="Times New Roman" w:eastAsia="仿宋"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仿宋" w:cs="Times New Roman"/>
                <w:b/>
                <w:bCs/>
                <w:color w:val="000000" w:themeColor="text1"/>
                <w:sz w:val="21"/>
                <w:szCs w:val="21"/>
                <w:lang w:eastAsia="zh-CN"/>
                <w14:textFill>
                  <w14:solidFill>
                    <w14:schemeClr w14:val="tx1"/>
                  </w14:solidFill>
                </w14:textFill>
              </w:rPr>
              <w:t>）</w:t>
            </w:r>
          </w:p>
        </w:tc>
      </w:tr>
      <w:tr w14:paraId="61A2E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55" w:type="dxa"/>
            <w:vMerge w:val="continue"/>
            <w:tcBorders>
              <w:top w:val="single" w:color="auto" w:sz="12" w:space="0"/>
              <w:left w:val="nil"/>
              <w:bottom w:val="single" w:color="auto" w:sz="4" w:space="0"/>
              <w:right w:val="single" w:color="auto" w:sz="4" w:space="0"/>
            </w:tcBorders>
            <w:vAlign w:val="center"/>
          </w:tcPr>
          <w:p w14:paraId="233D8A55">
            <w:pPr>
              <w:spacing w:line="240" w:lineRule="auto"/>
              <w:ind w:firstLine="0" w:firstLineChars="0"/>
              <w:rPr>
                <w:rFonts w:hint="default" w:ascii="Times New Roman" w:hAnsi="Times New Roman" w:eastAsia="仿宋" w:cs="Times New Roman"/>
                <w:b/>
                <w:bCs/>
                <w:color w:val="000000" w:themeColor="text1"/>
                <w:sz w:val="21"/>
                <w:szCs w:val="21"/>
                <w14:textFill>
                  <w14:solidFill>
                    <w14:schemeClr w14:val="tx1"/>
                  </w14:solidFill>
                </w14:textFill>
              </w:rPr>
            </w:pPr>
          </w:p>
        </w:tc>
        <w:tc>
          <w:tcPr>
            <w:tcW w:w="793" w:type="dxa"/>
            <w:vMerge w:val="continue"/>
            <w:tcBorders>
              <w:top w:val="single" w:color="auto" w:sz="12" w:space="0"/>
              <w:left w:val="single" w:color="auto" w:sz="4" w:space="0"/>
              <w:bottom w:val="single" w:color="auto" w:sz="4" w:space="0"/>
              <w:right w:val="single" w:color="auto" w:sz="4" w:space="0"/>
            </w:tcBorders>
            <w:vAlign w:val="center"/>
          </w:tcPr>
          <w:p w14:paraId="2D7BAD08">
            <w:pPr>
              <w:spacing w:line="240" w:lineRule="auto"/>
              <w:ind w:firstLine="0" w:firstLineChars="0"/>
              <w:rPr>
                <w:rFonts w:hint="default" w:ascii="Times New Roman" w:hAnsi="Times New Roman" w:eastAsia="仿宋" w:cs="Times New Roman"/>
                <w:b/>
                <w:bCs/>
                <w:color w:val="000000" w:themeColor="text1"/>
                <w:sz w:val="21"/>
                <w:szCs w:val="21"/>
                <w14:textFill>
                  <w14:solidFill>
                    <w14:schemeClr w14:val="tx1"/>
                  </w14:solidFill>
                </w14:textFill>
              </w:rPr>
            </w:pPr>
          </w:p>
        </w:tc>
        <w:tc>
          <w:tcPr>
            <w:tcW w:w="1028" w:type="dxa"/>
            <w:tcBorders>
              <w:top w:val="single" w:color="auto" w:sz="4" w:space="0"/>
              <w:left w:val="single" w:color="auto" w:sz="4" w:space="0"/>
              <w:bottom w:val="single" w:color="auto" w:sz="4" w:space="0"/>
              <w:right w:val="single" w:color="auto" w:sz="4" w:space="0"/>
            </w:tcBorders>
            <w:vAlign w:val="center"/>
          </w:tcPr>
          <w:p w14:paraId="3B345FC5">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1</w:t>
            </w:r>
          </w:p>
        </w:tc>
        <w:tc>
          <w:tcPr>
            <w:tcW w:w="809" w:type="dxa"/>
            <w:tcBorders>
              <w:top w:val="single" w:color="auto" w:sz="4" w:space="0"/>
              <w:left w:val="single" w:color="auto" w:sz="4" w:space="0"/>
              <w:bottom w:val="single" w:color="auto" w:sz="4" w:space="0"/>
              <w:right w:val="single" w:color="auto" w:sz="4" w:space="0"/>
            </w:tcBorders>
            <w:vAlign w:val="center"/>
          </w:tcPr>
          <w:p w14:paraId="0EF2DE24">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2</w:t>
            </w:r>
          </w:p>
        </w:tc>
        <w:tc>
          <w:tcPr>
            <w:tcW w:w="901" w:type="dxa"/>
            <w:tcBorders>
              <w:top w:val="single" w:color="auto" w:sz="4" w:space="0"/>
              <w:left w:val="single" w:color="auto" w:sz="4" w:space="0"/>
              <w:bottom w:val="single" w:color="auto" w:sz="4" w:space="0"/>
              <w:right w:val="single" w:color="auto" w:sz="4" w:space="0"/>
            </w:tcBorders>
            <w:vAlign w:val="center"/>
          </w:tcPr>
          <w:p w14:paraId="4B37ACB5">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3</w:t>
            </w:r>
          </w:p>
        </w:tc>
        <w:tc>
          <w:tcPr>
            <w:tcW w:w="936" w:type="dxa"/>
            <w:tcBorders>
              <w:top w:val="single" w:color="auto" w:sz="4" w:space="0"/>
              <w:left w:val="single" w:color="auto" w:sz="4" w:space="0"/>
              <w:bottom w:val="single" w:color="auto" w:sz="4" w:space="0"/>
              <w:right w:val="single" w:color="auto" w:sz="4" w:space="0"/>
            </w:tcBorders>
            <w:vAlign w:val="center"/>
          </w:tcPr>
          <w:p w14:paraId="2AFE34AD">
            <w:pPr>
              <w:spacing w:line="240" w:lineRule="auto"/>
              <w:ind w:firstLine="0" w:firstLineChars="0"/>
              <w:jc w:val="center"/>
              <w:rPr>
                <w:rFonts w:hint="default" w:ascii="Times New Roman" w:hAnsi="Times New Roman" w:eastAsia="仿宋"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1</w:t>
            </w:r>
          </w:p>
        </w:tc>
        <w:tc>
          <w:tcPr>
            <w:tcW w:w="820" w:type="dxa"/>
            <w:tcBorders>
              <w:top w:val="single" w:color="auto" w:sz="4" w:space="0"/>
              <w:left w:val="single" w:color="auto" w:sz="4" w:space="0"/>
              <w:bottom w:val="single" w:color="auto" w:sz="4" w:space="0"/>
              <w:right w:val="single" w:color="auto" w:sz="4" w:space="0"/>
            </w:tcBorders>
            <w:vAlign w:val="center"/>
          </w:tcPr>
          <w:p w14:paraId="340F9078">
            <w:pPr>
              <w:spacing w:line="240" w:lineRule="auto"/>
              <w:ind w:firstLine="0" w:firstLineChars="0"/>
              <w:jc w:val="center"/>
              <w:rPr>
                <w:rFonts w:hint="default" w:ascii="Times New Roman" w:hAnsi="Times New Roman" w:eastAsia="仿宋"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2</w:t>
            </w:r>
          </w:p>
        </w:tc>
        <w:tc>
          <w:tcPr>
            <w:tcW w:w="867" w:type="dxa"/>
            <w:tcBorders>
              <w:top w:val="single" w:color="auto" w:sz="4" w:space="0"/>
              <w:left w:val="single" w:color="auto" w:sz="4" w:space="0"/>
              <w:bottom w:val="single" w:color="auto" w:sz="4" w:space="0"/>
              <w:right w:val="single" w:color="auto" w:sz="4" w:space="0"/>
            </w:tcBorders>
            <w:vAlign w:val="center"/>
          </w:tcPr>
          <w:p w14:paraId="753352AF">
            <w:pPr>
              <w:spacing w:line="240" w:lineRule="auto"/>
              <w:ind w:firstLine="0" w:firstLineChars="0"/>
              <w:jc w:val="center"/>
              <w:rPr>
                <w:rFonts w:hint="default" w:ascii="Times New Roman" w:hAnsi="Times New Roman" w:eastAsia="仿宋"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3</w:t>
            </w:r>
          </w:p>
        </w:tc>
        <w:tc>
          <w:tcPr>
            <w:tcW w:w="693" w:type="dxa"/>
            <w:tcBorders>
              <w:top w:val="single" w:color="auto" w:sz="4" w:space="0"/>
              <w:left w:val="single" w:color="auto" w:sz="4" w:space="0"/>
              <w:bottom w:val="single" w:color="auto" w:sz="4" w:space="0"/>
              <w:right w:val="single" w:color="auto" w:sz="4" w:space="0"/>
            </w:tcBorders>
            <w:vAlign w:val="center"/>
          </w:tcPr>
          <w:p w14:paraId="3FB2EE09">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1</w:t>
            </w:r>
          </w:p>
        </w:tc>
        <w:tc>
          <w:tcPr>
            <w:tcW w:w="716" w:type="dxa"/>
            <w:tcBorders>
              <w:top w:val="single" w:color="auto" w:sz="4" w:space="0"/>
              <w:left w:val="single" w:color="auto" w:sz="4" w:space="0"/>
              <w:bottom w:val="single" w:color="auto" w:sz="4" w:space="0"/>
              <w:right w:val="single" w:color="auto" w:sz="4" w:space="0"/>
            </w:tcBorders>
            <w:vAlign w:val="center"/>
          </w:tcPr>
          <w:p w14:paraId="1EF1C159">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2</w:t>
            </w:r>
          </w:p>
        </w:tc>
        <w:tc>
          <w:tcPr>
            <w:tcW w:w="844" w:type="dxa"/>
            <w:tcBorders>
              <w:top w:val="single" w:color="auto" w:sz="4" w:space="0"/>
              <w:left w:val="single" w:color="auto" w:sz="4" w:space="0"/>
              <w:bottom w:val="single" w:color="auto" w:sz="4" w:space="0"/>
              <w:right w:val="nil"/>
            </w:tcBorders>
            <w:vAlign w:val="center"/>
          </w:tcPr>
          <w:p w14:paraId="1357A007">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3</w:t>
            </w:r>
          </w:p>
        </w:tc>
        <w:tc>
          <w:tcPr>
            <w:tcW w:w="786" w:type="dxa"/>
            <w:tcBorders>
              <w:top w:val="single" w:color="auto" w:sz="4" w:space="0"/>
              <w:left w:val="single" w:color="auto" w:sz="4" w:space="0"/>
              <w:bottom w:val="single" w:color="auto" w:sz="4" w:space="0"/>
              <w:right w:val="nil"/>
            </w:tcBorders>
            <w:vAlign w:val="center"/>
          </w:tcPr>
          <w:p w14:paraId="52126426">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1</w:t>
            </w:r>
          </w:p>
        </w:tc>
        <w:tc>
          <w:tcPr>
            <w:tcW w:w="844" w:type="dxa"/>
            <w:tcBorders>
              <w:top w:val="single" w:color="auto" w:sz="4" w:space="0"/>
              <w:left w:val="single" w:color="auto" w:sz="4" w:space="0"/>
              <w:bottom w:val="single" w:color="auto" w:sz="4" w:space="0"/>
              <w:right w:val="nil"/>
            </w:tcBorders>
            <w:vAlign w:val="center"/>
          </w:tcPr>
          <w:p w14:paraId="33678C5C">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2</w:t>
            </w:r>
          </w:p>
        </w:tc>
        <w:tc>
          <w:tcPr>
            <w:tcW w:w="797" w:type="dxa"/>
            <w:tcBorders>
              <w:top w:val="single" w:color="auto" w:sz="4" w:space="0"/>
              <w:left w:val="single" w:color="auto" w:sz="4" w:space="0"/>
              <w:bottom w:val="single" w:color="auto" w:sz="4" w:space="0"/>
              <w:right w:val="nil"/>
            </w:tcBorders>
            <w:vAlign w:val="center"/>
          </w:tcPr>
          <w:p w14:paraId="28821EB8">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3</w:t>
            </w:r>
          </w:p>
        </w:tc>
        <w:tc>
          <w:tcPr>
            <w:tcW w:w="636" w:type="dxa"/>
            <w:tcBorders>
              <w:top w:val="single" w:color="auto" w:sz="4" w:space="0"/>
              <w:left w:val="single" w:color="auto" w:sz="4" w:space="0"/>
              <w:bottom w:val="single" w:color="auto" w:sz="4" w:space="0"/>
              <w:right w:val="nil"/>
            </w:tcBorders>
            <w:vAlign w:val="center"/>
          </w:tcPr>
          <w:p w14:paraId="692052FF">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1</w:t>
            </w:r>
          </w:p>
        </w:tc>
        <w:tc>
          <w:tcPr>
            <w:tcW w:w="647" w:type="dxa"/>
            <w:tcBorders>
              <w:top w:val="single" w:color="auto" w:sz="4" w:space="0"/>
              <w:left w:val="single" w:color="auto" w:sz="4" w:space="0"/>
              <w:bottom w:val="single" w:color="auto" w:sz="4" w:space="0"/>
              <w:right w:val="nil"/>
            </w:tcBorders>
            <w:vAlign w:val="center"/>
          </w:tcPr>
          <w:p w14:paraId="30CB5DCA">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2</w:t>
            </w:r>
          </w:p>
        </w:tc>
        <w:tc>
          <w:tcPr>
            <w:tcW w:w="786" w:type="dxa"/>
            <w:tcBorders>
              <w:top w:val="single" w:color="auto" w:sz="4" w:space="0"/>
              <w:left w:val="single" w:color="auto" w:sz="4" w:space="0"/>
              <w:bottom w:val="single" w:color="auto" w:sz="4" w:space="0"/>
              <w:right w:val="nil"/>
            </w:tcBorders>
            <w:vAlign w:val="center"/>
          </w:tcPr>
          <w:p w14:paraId="4E577708">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3</w:t>
            </w:r>
          </w:p>
        </w:tc>
      </w:tr>
      <w:tr w14:paraId="26823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55" w:type="dxa"/>
            <w:tcBorders>
              <w:top w:val="single" w:color="auto" w:sz="4" w:space="0"/>
              <w:left w:val="nil"/>
              <w:bottom w:val="single" w:color="auto" w:sz="4" w:space="0"/>
              <w:right w:val="single" w:color="auto" w:sz="4" w:space="0"/>
            </w:tcBorders>
            <w:vAlign w:val="center"/>
          </w:tcPr>
          <w:p w14:paraId="58346F98">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g1</w:t>
            </w:r>
          </w:p>
        </w:tc>
        <w:tc>
          <w:tcPr>
            <w:tcW w:w="793" w:type="dxa"/>
            <w:vMerge w:val="restart"/>
            <w:tcBorders>
              <w:top w:val="single" w:color="auto" w:sz="4" w:space="0"/>
              <w:left w:val="single" w:color="auto" w:sz="4" w:space="0"/>
              <w:right w:val="single" w:color="auto" w:sz="4" w:space="0"/>
            </w:tcBorders>
            <w:vAlign w:val="center"/>
          </w:tcPr>
          <w:p w14:paraId="16A1AB35">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lang w:val="en-US" w:eastAsia="zh-CN"/>
                <w14:textFill>
                  <w14:solidFill>
                    <w14:schemeClr w14:val="tx1"/>
                  </w14:solidFill>
                </w14:textFill>
              </w:rPr>
              <w:t>9</w:t>
            </w:r>
            <w:r>
              <w:rPr>
                <w:rFonts w:hint="default" w:ascii="Times New Roman" w:hAnsi="Times New Roman" w:eastAsia="仿宋" w:cs="Times New Roman"/>
                <w:color w:val="000000" w:themeColor="text1"/>
                <w:sz w:val="21"/>
                <w:szCs w:val="21"/>
                <w14:textFill>
                  <w14:solidFill>
                    <w14:schemeClr w14:val="tx1"/>
                  </w14:solidFill>
                </w14:textFill>
              </w:rPr>
              <w:t>月</w:t>
            </w:r>
          </w:p>
          <w:p w14:paraId="217E6520">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lang w:val="en-US" w:eastAsia="zh-CN"/>
                <w14:textFill>
                  <w14:solidFill>
                    <w14:schemeClr w14:val="tx1"/>
                  </w14:solidFill>
                </w14:textFill>
              </w:rPr>
              <w:t>28</w:t>
            </w:r>
            <w:r>
              <w:rPr>
                <w:rFonts w:hint="default" w:ascii="Times New Roman" w:hAnsi="Times New Roman" w:eastAsia="仿宋" w:cs="Times New Roman"/>
                <w:color w:val="000000" w:themeColor="text1"/>
                <w:sz w:val="21"/>
                <w:szCs w:val="21"/>
                <w14:textFill>
                  <w14:solidFill>
                    <w14:schemeClr w14:val="tx1"/>
                  </w14:solidFill>
                </w14:textFill>
              </w:rPr>
              <w:t>日</w:t>
            </w:r>
          </w:p>
        </w:tc>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14:paraId="6433D6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09" w:type="dxa"/>
            <w:tcBorders>
              <w:top w:val="single" w:color="auto" w:sz="4" w:space="0"/>
              <w:left w:val="single" w:color="auto" w:sz="4" w:space="0"/>
              <w:bottom w:val="single" w:color="auto" w:sz="4" w:space="0"/>
              <w:right w:val="single" w:color="auto" w:sz="4" w:space="0"/>
            </w:tcBorders>
            <w:shd w:val="clear" w:color="auto" w:fill="auto"/>
            <w:vAlign w:val="center"/>
          </w:tcPr>
          <w:p w14:paraId="2FC7BF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2B323F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14:paraId="660083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w:t>
            </w:r>
            <w:r>
              <w:rPr>
                <w:rFonts w:hint="default" w:ascii="Times New Roman" w:hAnsi="Times New Roman" w:cs="Times New Roman"/>
                <w:i w:val="0"/>
                <w:iCs w:val="0"/>
                <w:color w:val="000000"/>
                <w:kern w:val="0"/>
                <w:sz w:val="21"/>
                <w:szCs w:val="21"/>
                <w:u w:val="none"/>
                <w:lang w:val="en-US" w:eastAsia="zh-CN" w:bidi="ar"/>
              </w:rPr>
              <w:t>0</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759E90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w:t>
            </w:r>
            <w:r>
              <w:rPr>
                <w:rFonts w:hint="default" w:ascii="Times New Roman" w:hAnsi="Times New Roman" w:cs="Times New Roman"/>
                <w:i w:val="0"/>
                <w:iCs w:val="0"/>
                <w:color w:val="000000"/>
                <w:kern w:val="0"/>
                <w:sz w:val="21"/>
                <w:szCs w:val="21"/>
                <w:u w:val="none"/>
                <w:lang w:val="en-US" w:eastAsia="zh-CN" w:bidi="ar"/>
              </w:rPr>
              <w:t>0</w:t>
            </w:r>
          </w:p>
        </w:tc>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557232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14:paraId="478302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3DDF0E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844" w:type="dxa"/>
            <w:tcBorders>
              <w:top w:val="single" w:color="auto" w:sz="4" w:space="0"/>
              <w:left w:val="single" w:color="auto" w:sz="4" w:space="0"/>
              <w:bottom w:val="single" w:color="auto" w:sz="4" w:space="0"/>
              <w:right w:val="nil"/>
            </w:tcBorders>
            <w:shd w:val="clear" w:color="auto" w:fill="auto"/>
            <w:vAlign w:val="center"/>
          </w:tcPr>
          <w:p w14:paraId="1B868E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86" w:type="dxa"/>
            <w:tcBorders>
              <w:top w:val="single" w:color="auto" w:sz="4" w:space="0"/>
              <w:left w:val="single" w:color="auto" w:sz="4" w:space="0"/>
              <w:bottom w:val="single" w:color="auto" w:sz="4" w:space="0"/>
              <w:right w:val="nil"/>
            </w:tcBorders>
            <w:shd w:val="clear" w:color="auto" w:fill="auto"/>
            <w:vAlign w:val="center"/>
          </w:tcPr>
          <w:p w14:paraId="432AB4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844" w:type="dxa"/>
            <w:tcBorders>
              <w:top w:val="single" w:color="auto" w:sz="4" w:space="0"/>
              <w:left w:val="single" w:color="auto" w:sz="4" w:space="0"/>
              <w:bottom w:val="single" w:color="auto" w:sz="4" w:space="0"/>
              <w:right w:val="nil"/>
            </w:tcBorders>
            <w:shd w:val="clear" w:color="auto" w:fill="auto"/>
            <w:vAlign w:val="center"/>
          </w:tcPr>
          <w:p w14:paraId="44AFC3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797" w:type="dxa"/>
            <w:tcBorders>
              <w:top w:val="single" w:color="auto" w:sz="4" w:space="0"/>
              <w:left w:val="single" w:color="auto" w:sz="4" w:space="0"/>
              <w:bottom w:val="single" w:color="auto" w:sz="4" w:space="0"/>
              <w:right w:val="nil"/>
            </w:tcBorders>
            <w:shd w:val="clear" w:color="auto" w:fill="auto"/>
            <w:vAlign w:val="center"/>
          </w:tcPr>
          <w:p w14:paraId="7A965B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636" w:type="dxa"/>
            <w:tcBorders>
              <w:top w:val="single" w:color="auto" w:sz="4" w:space="0"/>
              <w:left w:val="single" w:color="auto" w:sz="4" w:space="0"/>
              <w:bottom w:val="single" w:color="auto" w:sz="4" w:space="0"/>
              <w:right w:val="nil"/>
            </w:tcBorders>
            <w:shd w:val="clear" w:color="auto" w:fill="auto"/>
            <w:vAlign w:val="center"/>
          </w:tcPr>
          <w:p w14:paraId="7D92DF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647" w:type="dxa"/>
            <w:tcBorders>
              <w:top w:val="single" w:color="auto" w:sz="4" w:space="0"/>
              <w:left w:val="single" w:color="auto" w:sz="4" w:space="0"/>
              <w:bottom w:val="single" w:color="auto" w:sz="4" w:space="0"/>
              <w:right w:val="nil"/>
            </w:tcBorders>
            <w:shd w:val="clear" w:color="auto" w:fill="auto"/>
            <w:vAlign w:val="center"/>
          </w:tcPr>
          <w:p w14:paraId="4BB519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86" w:type="dxa"/>
            <w:tcBorders>
              <w:top w:val="single" w:color="auto" w:sz="4" w:space="0"/>
              <w:left w:val="single" w:color="auto" w:sz="4" w:space="0"/>
              <w:bottom w:val="single" w:color="auto" w:sz="4" w:space="0"/>
              <w:right w:val="nil"/>
            </w:tcBorders>
            <w:shd w:val="clear" w:color="auto" w:fill="auto"/>
            <w:vAlign w:val="center"/>
          </w:tcPr>
          <w:p w14:paraId="042AA3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65D3C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2" w:hRule="atLeast"/>
          <w:jc w:val="center"/>
        </w:trPr>
        <w:tc>
          <w:tcPr>
            <w:tcW w:w="1055" w:type="dxa"/>
            <w:tcBorders>
              <w:top w:val="single" w:color="auto" w:sz="4" w:space="0"/>
              <w:left w:val="nil"/>
              <w:bottom w:val="single" w:color="auto" w:sz="4" w:space="0"/>
              <w:right w:val="single" w:color="auto" w:sz="4" w:space="0"/>
            </w:tcBorders>
            <w:vAlign w:val="center"/>
          </w:tcPr>
          <w:p w14:paraId="5A30CFC1">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g2</w:t>
            </w:r>
          </w:p>
        </w:tc>
        <w:tc>
          <w:tcPr>
            <w:tcW w:w="793" w:type="dxa"/>
            <w:vMerge w:val="continue"/>
            <w:tcBorders>
              <w:left w:val="single" w:color="auto" w:sz="4" w:space="0"/>
              <w:right w:val="single" w:color="auto" w:sz="4" w:space="0"/>
            </w:tcBorders>
            <w:vAlign w:val="center"/>
          </w:tcPr>
          <w:p w14:paraId="1D358298">
            <w:pPr>
              <w:spacing w:line="240" w:lineRule="auto"/>
              <w:ind w:firstLine="0" w:firstLineChars="0"/>
              <w:rPr>
                <w:rFonts w:hint="default" w:ascii="Times New Roman" w:hAnsi="Times New Roman" w:eastAsia="仿宋" w:cs="Times New Roman"/>
                <w:color w:val="000000" w:themeColor="text1"/>
                <w:sz w:val="21"/>
                <w:szCs w:val="21"/>
                <w14:textFill>
                  <w14:solidFill>
                    <w14:schemeClr w14:val="tx1"/>
                  </w14:solidFill>
                </w14:textFill>
              </w:rPr>
            </w:pPr>
          </w:p>
        </w:tc>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14:paraId="24CB7E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09" w:type="dxa"/>
            <w:tcBorders>
              <w:top w:val="single" w:color="auto" w:sz="4" w:space="0"/>
              <w:left w:val="single" w:color="auto" w:sz="4" w:space="0"/>
              <w:bottom w:val="single" w:color="auto" w:sz="4" w:space="0"/>
              <w:right w:val="single" w:color="auto" w:sz="4" w:space="0"/>
            </w:tcBorders>
            <w:shd w:val="clear" w:color="auto" w:fill="auto"/>
            <w:vAlign w:val="center"/>
          </w:tcPr>
          <w:p w14:paraId="209BDC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5420C0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14:paraId="68E358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7264D2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w:t>
            </w:r>
            <w:r>
              <w:rPr>
                <w:rFonts w:hint="default" w:ascii="Times New Roman" w:hAnsi="Times New Roman" w:cs="Times New Roman"/>
                <w:i w:val="0"/>
                <w:iCs w:val="0"/>
                <w:color w:val="000000"/>
                <w:kern w:val="0"/>
                <w:sz w:val="21"/>
                <w:szCs w:val="21"/>
                <w:u w:val="none"/>
                <w:lang w:val="en-US" w:eastAsia="zh-CN" w:bidi="ar"/>
              </w:rPr>
              <w:t>0</w:t>
            </w:r>
          </w:p>
        </w:tc>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32B3BD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14:paraId="2E8C41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458F19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844" w:type="dxa"/>
            <w:tcBorders>
              <w:top w:val="single" w:color="auto" w:sz="4" w:space="0"/>
              <w:left w:val="single" w:color="auto" w:sz="4" w:space="0"/>
              <w:bottom w:val="single" w:color="auto" w:sz="4" w:space="0"/>
              <w:right w:val="nil"/>
            </w:tcBorders>
            <w:shd w:val="clear" w:color="auto" w:fill="auto"/>
            <w:vAlign w:val="center"/>
          </w:tcPr>
          <w:p w14:paraId="4318F0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86" w:type="dxa"/>
            <w:tcBorders>
              <w:top w:val="single" w:color="auto" w:sz="4" w:space="0"/>
              <w:left w:val="single" w:color="auto" w:sz="4" w:space="0"/>
              <w:bottom w:val="single" w:color="auto" w:sz="4" w:space="0"/>
              <w:right w:val="nil"/>
            </w:tcBorders>
            <w:shd w:val="clear" w:color="auto" w:fill="auto"/>
            <w:vAlign w:val="center"/>
          </w:tcPr>
          <w:p w14:paraId="15D203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844" w:type="dxa"/>
            <w:tcBorders>
              <w:top w:val="single" w:color="auto" w:sz="4" w:space="0"/>
              <w:left w:val="single" w:color="auto" w:sz="4" w:space="0"/>
              <w:bottom w:val="single" w:color="auto" w:sz="4" w:space="0"/>
              <w:right w:val="nil"/>
            </w:tcBorders>
            <w:shd w:val="clear" w:color="auto" w:fill="auto"/>
            <w:vAlign w:val="center"/>
          </w:tcPr>
          <w:p w14:paraId="37B5BF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797" w:type="dxa"/>
            <w:tcBorders>
              <w:top w:val="single" w:color="auto" w:sz="4" w:space="0"/>
              <w:left w:val="single" w:color="auto" w:sz="4" w:space="0"/>
              <w:bottom w:val="single" w:color="auto" w:sz="4" w:space="0"/>
              <w:right w:val="nil"/>
            </w:tcBorders>
            <w:shd w:val="clear" w:color="auto" w:fill="auto"/>
            <w:vAlign w:val="center"/>
          </w:tcPr>
          <w:p w14:paraId="607F54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636" w:type="dxa"/>
            <w:tcBorders>
              <w:top w:val="single" w:color="auto" w:sz="4" w:space="0"/>
              <w:left w:val="single" w:color="auto" w:sz="4" w:space="0"/>
              <w:bottom w:val="single" w:color="auto" w:sz="4" w:space="0"/>
              <w:right w:val="nil"/>
            </w:tcBorders>
            <w:shd w:val="clear" w:color="auto" w:fill="auto"/>
            <w:vAlign w:val="center"/>
          </w:tcPr>
          <w:p w14:paraId="039E30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631</w:t>
            </w:r>
          </w:p>
        </w:tc>
        <w:tc>
          <w:tcPr>
            <w:tcW w:w="647" w:type="dxa"/>
            <w:tcBorders>
              <w:top w:val="single" w:color="auto" w:sz="4" w:space="0"/>
              <w:left w:val="single" w:color="auto" w:sz="4" w:space="0"/>
              <w:bottom w:val="single" w:color="auto" w:sz="4" w:space="0"/>
              <w:right w:val="nil"/>
            </w:tcBorders>
            <w:shd w:val="clear" w:color="auto" w:fill="auto"/>
            <w:vAlign w:val="center"/>
          </w:tcPr>
          <w:p w14:paraId="009A15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328</w:t>
            </w:r>
          </w:p>
        </w:tc>
        <w:tc>
          <w:tcPr>
            <w:tcW w:w="786" w:type="dxa"/>
            <w:tcBorders>
              <w:top w:val="single" w:color="auto" w:sz="4" w:space="0"/>
              <w:left w:val="single" w:color="auto" w:sz="4" w:space="0"/>
              <w:bottom w:val="single" w:color="auto" w:sz="4" w:space="0"/>
              <w:right w:val="nil"/>
            </w:tcBorders>
            <w:shd w:val="clear" w:color="auto" w:fill="auto"/>
            <w:vAlign w:val="center"/>
          </w:tcPr>
          <w:p w14:paraId="2E7D3B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5.7</w:t>
            </w:r>
          </w:p>
        </w:tc>
      </w:tr>
      <w:tr w14:paraId="2FC84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55" w:type="dxa"/>
            <w:tcBorders>
              <w:top w:val="single" w:color="auto" w:sz="4" w:space="0"/>
              <w:left w:val="nil"/>
              <w:bottom w:val="single" w:color="auto" w:sz="4" w:space="0"/>
              <w:right w:val="single" w:color="auto" w:sz="4" w:space="0"/>
            </w:tcBorders>
            <w:vAlign w:val="center"/>
          </w:tcPr>
          <w:p w14:paraId="6021DF41">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g3</w:t>
            </w:r>
          </w:p>
        </w:tc>
        <w:tc>
          <w:tcPr>
            <w:tcW w:w="793" w:type="dxa"/>
            <w:vMerge w:val="continue"/>
            <w:tcBorders>
              <w:left w:val="single" w:color="auto" w:sz="4" w:space="0"/>
              <w:right w:val="single" w:color="auto" w:sz="4" w:space="0"/>
            </w:tcBorders>
            <w:vAlign w:val="center"/>
          </w:tcPr>
          <w:p w14:paraId="76E81A53">
            <w:pPr>
              <w:spacing w:line="240" w:lineRule="auto"/>
              <w:ind w:firstLine="0" w:firstLineChars="0"/>
              <w:rPr>
                <w:rFonts w:hint="default" w:ascii="Times New Roman" w:hAnsi="Times New Roman" w:eastAsia="仿宋" w:cs="Times New Roman"/>
                <w:color w:val="000000" w:themeColor="text1"/>
                <w:sz w:val="21"/>
                <w:szCs w:val="21"/>
                <w14:textFill>
                  <w14:solidFill>
                    <w14:schemeClr w14:val="tx1"/>
                  </w14:solidFill>
                </w14:textFill>
              </w:rPr>
            </w:pPr>
          </w:p>
        </w:tc>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14:paraId="1D0378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09" w:type="dxa"/>
            <w:tcBorders>
              <w:top w:val="single" w:color="auto" w:sz="4" w:space="0"/>
              <w:left w:val="single" w:color="auto" w:sz="4" w:space="0"/>
              <w:bottom w:val="single" w:color="auto" w:sz="4" w:space="0"/>
              <w:right w:val="single" w:color="auto" w:sz="4" w:space="0"/>
            </w:tcBorders>
            <w:shd w:val="clear" w:color="auto" w:fill="auto"/>
            <w:vAlign w:val="center"/>
          </w:tcPr>
          <w:p w14:paraId="5F9CF6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51E544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14:paraId="3F6B4F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43FCEC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6A079C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14:paraId="47EF18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0EE7E7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844" w:type="dxa"/>
            <w:tcBorders>
              <w:top w:val="single" w:color="auto" w:sz="4" w:space="0"/>
              <w:left w:val="single" w:color="auto" w:sz="4" w:space="0"/>
              <w:bottom w:val="single" w:color="auto" w:sz="4" w:space="0"/>
              <w:right w:val="nil"/>
            </w:tcBorders>
            <w:shd w:val="clear" w:color="auto" w:fill="auto"/>
            <w:vAlign w:val="center"/>
          </w:tcPr>
          <w:p w14:paraId="186B63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86" w:type="dxa"/>
            <w:tcBorders>
              <w:top w:val="single" w:color="auto" w:sz="4" w:space="0"/>
              <w:left w:val="single" w:color="auto" w:sz="4" w:space="0"/>
              <w:bottom w:val="single" w:color="auto" w:sz="4" w:space="0"/>
              <w:right w:val="nil"/>
            </w:tcBorders>
            <w:shd w:val="clear" w:color="auto" w:fill="auto"/>
            <w:vAlign w:val="center"/>
          </w:tcPr>
          <w:p w14:paraId="62E266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844" w:type="dxa"/>
            <w:tcBorders>
              <w:top w:val="single" w:color="auto" w:sz="4" w:space="0"/>
              <w:left w:val="single" w:color="auto" w:sz="4" w:space="0"/>
              <w:bottom w:val="single" w:color="auto" w:sz="4" w:space="0"/>
              <w:right w:val="nil"/>
            </w:tcBorders>
            <w:shd w:val="clear" w:color="auto" w:fill="auto"/>
            <w:vAlign w:val="center"/>
          </w:tcPr>
          <w:p w14:paraId="684270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797" w:type="dxa"/>
            <w:tcBorders>
              <w:top w:val="single" w:color="auto" w:sz="4" w:space="0"/>
              <w:left w:val="single" w:color="auto" w:sz="4" w:space="0"/>
              <w:bottom w:val="single" w:color="auto" w:sz="4" w:space="0"/>
              <w:right w:val="nil"/>
            </w:tcBorders>
            <w:shd w:val="clear" w:color="auto" w:fill="auto"/>
            <w:vAlign w:val="center"/>
          </w:tcPr>
          <w:p w14:paraId="5BFB98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636" w:type="dxa"/>
            <w:tcBorders>
              <w:top w:val="single" w:color="auto" w:sz="4" w:space="0"/>
              <w:left w:val="single" w:color="auto" w:sz="4" w:space="0"/>
              <w:bottom w:val="single" w:color="auto" w:sz="4" w:space="0"/>
              <w:right w:val="nil"/>
            </w:tcBorders>
            <w:shd w:val="clear" w:color="auto" w:fill="auto"/>
            <w:vAlign w:val="center"/>
          </w:tcPr>
          <w:p w14:paraId="0EECBE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647" w:type="dxa"/>
            <w:tcBorders>
              <w:top w:val="single" w:color="auto" w:sz="4" w:space="0"/>
              <w:left w:val="single" w:color="auto" w:sz="4" w:space="0"/>
              <w:bottom w:val="single" w:color="auto" w:sz="4" w:space="0"/>
              <w:right w:val="nil"/>
            </w:tcBorders>
            <w:shd w:val="clear" w:color="auto" w:fill="auto"/>
            <w:vAlign w:val="center"/>
          </w:tcPr>
          <w:p w14:paraId="17556F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65.1</w:t>
            </w:r>
          </w:p>
        </w:tc>
        <w:tc>
          <w:tcPr>
            <w:tcW w:w="786" w:type="dxa"/>
            <w:tcBorders>
              <w:top w:val="single" w:color="auto" w:sz="4" w:space="0"/>
              <w:left w:val="single" w:color="auto" w:sz="4" w:space="0"/>
              <w:bottom w:val="single" w:color="auto" w:sz="4" w:space="0"/>
              <w:right w:val="nil"/>
            </w:tcBorders>
            <w:shd w:val="clear" w:color="auto" w:fill="auto"/>
            <w:vAlign w:val="center"/>
          </w:tcPr>
          <w:p w14:paraId="7D02C7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382</w:t>
            </w:r>
          </w:p>
        </w:tc>
      </w:tr>
      <w:tr w14:paraId="6CAE0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55" w:type="dxa"/>
            <w:tcBorders>
              <w:top w:val="single" w:color="auto" w:sz="4" w:space="0"/>
              <w:left w:val="nil"/>
              <w:bottom w:val="single" w:color="auto" w:sz="4" w:space="0"/>
              <w:right w:val="single" w:color="auto" w:sz="4" w:space="0"/>
            </w:tcBorders>
            <w:vAlign w:val="center"/>
          </w:tcPr>
          <w:p w14:paraId="10FF8EB1">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g4</w:t>
            </w:r>
          </w:p>
        </w:tc>
        <w:tc>
          <w:tcPr>
            <w:tcW w:w="793" w:type="dxa"/>
            <w:vMerge w:val="continue"/>
            <w:tcBorders>
              <w:left w:val="single" w:color="auto" w:sz="4" w:space="0"/>
              <w:right w:val="single" w:color="auto" w:sz="4" w:space="0"/>
            </w:tcBorders>
            <w:vAlign w:val="center"/>
          </w:tcPr>
          <w:p w14:paraId="138CA439">
            <w:pPr>
              <w:spacing w:line="240" w:lineRule="auto"/>
              <w:ind w:firstLine="0" w:firstLineChars="0"/>
              <w:rPr>
                <w:rFonts w:hint="default" w:ascii="Times New Roman" w:hAnsi="Times New Roman" w:eastAsia="仿宋" w:cs="Times New Roman"/>
                <w:color w:val="000000" w:themeColor="text1"/>
                <w:sz w:val="21"/>
                <w:szCs w:val="21"/>
                <w14:textFill>
                  <w14:solidFill>
                    <w14:schemeClr w14:val="tx1"/>
                  </w14:solidFill>
                </w14:textFill>
              </w:rPr>
            </w:pPr>
          </w:p>
        </w:tc>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14:paraId="07811E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09" w:type="dxa"/>
            <w:tcBorders>
              <w:top w:val="single" w:color="auto" w:sz="4" w:space="0"/>
              <w:left w:val="single" w:color="auto" w:sz="4" w:space="0"/>
              <w:bottom w:val="single" w:color="auto" w:sz="4" w:space="0"/>
              <w:right w:val="single" w:color="auto" w:sz="4" w:space="0"/>
            </w:tcBorders>
            <w:shd w:val="clear" w:color="auto" w:fill="auto"/>
            <w:vAlign w:val="center"/>
          </w:tcPr>
          <w:p w14:paraId="526796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143E34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14:paraId="10D5BC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6509DC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0953A0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14:paraId="7B09DC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3AE7A97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844" w:type="dxa"/>
            <w:tcBorders>
              <w:top w:val="single" w:color="auto" w:sz="4" w:space="0"/>
              <w:left w:val="single" w:color="auto" w:sz="4" w:space="0"/>
              <w:bottom w:val="single" w:color="auto" w:sz="4" w:space="0"/>
              <w:right w:val="nil"/>
            </w:tcBorders>
            <w:shd w:val="clear" w:color="auto" w:fill="auto"/>
            <w:vAlign w:val="center"/>
          </w:tcPr>
          <w:p w14:paraId="60B820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86" w:type="dxa"/>
            <w:tcBorders>
              <w:top w:val="single" w:color="auto" w:sz="4" w:space="0"/>
              <w:left w:val="single" w:color="auto" w:sz="4" w:space="0"/>
              <w:bottom w:val="single" w:color="auto" w:sz="4" w:space="0"/>
              <w:right w:val="nil"/>
            </w:tcBorders>
            <w:shd w:val="clear" w:color="auto" w:fill="auto"/>
            <w:vAlign w:val="center"/>
          </w:tcPr>
          <w:p w14:paraId="2EDD2C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844" w:type="dxa"/>
            <w:tcBorders>
              <w:top w:val="single" w:color="auto" w:sz="4" w:space="0"/>
              <w:left w:val="single" w:color="auto" w:sz="4" w:space="0"/>
              <w:bottom w:val="single" w:color="auto" w:sz="4" w:space="0"/>
              <w:right w:val="nil"/>
            </w:tcBorders>
            <w:shd w:val="clear" w:color="auto" w:fill="auto"/>
            <w:vAlign w:val="center"/>
          </w:tcPr>
          <w:p w14:paraId="702856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797" w:type="dxa"/>
            <w:tcBorders>
              <w:top w:val="single" w:color="auto" w:sz="4" w:space="0"/>
              <w:left w:val="single" w:color="auto" w:sz="4" w:space="0"/>
              <w:bottom w:val="single" w:color="auto" w:sz="4" w:space="0"/>
              <w:right w:val="nil"/>
            </w:tcBorders>
            <w:shd w:val="clear" w:color="auto" w:fill="auto"/>
            <w:vAlign w:val="center"/>
          </w:tcPr>
          <w:p w14:paraId="403DA0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636" w:type="dxa"/>
            <w:tcBorders>
              <w:top w:val="single" w:color="auto" w:sz="4" w:space="0"/>
              <w:left w:val="single" w:color="auto" w:sz="4" w:space="0"/>
              <w:bottom w:val="single" w:color="auto" w:sz="4" w:space="0"/>
              <w:right w:val="nil"/>
            </w:tcBorders>
            <w:shd w:val="clear" w:color="auto" w:fill="auto"/>
            <w:vAlign w:val="center"/>
          </w:tcPr>
          <w:p w14:paraId="586365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194</w:t>
            </w:r>
          </w:p>
        </w:tc>
        <w:tc>
          <w:tcPr>
            <w:tcW w:w="647" w:type="dxa"/>
            <w:tcBorders>
              <w:top w:val="single" w:color="auto" w:sz="4" w:space="0"/>
              <w:left w:val="single" w:color="auto" w:sz="4" w:space="0"/>
              <w:bottom w:val="single" w:color="auto" w:sz="4" w:space="0"/>
              <w:right w:val="nil"/>
            </w:tcBorders>
            <w:shd w:val="clear" w:color="auto" w:fill="auto"/>
            <w:vAlign w:val="center"/>
          </w:tcPr>
          <w:p w14:paraId="361AC1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721</w:t>
            </w:r>
          </w:p>
        </w:tc>
        <w:tc>
          <w:tcPr>
            <w:tcW w:w="786" w:type="dxa"/>
            <w:tcBorders>
              <w:top w:val="single" w:color="auto" w:sz="4" w:space="0"/>
              <w:left w:val="single" w:color="auto" w:sz="4" w:space="0"/>
              <w:bottom w:val="single" w:color="auto" w:sz="4" w:space="0"/>
              <w:right w:val="nil"/>
            </w:tcBorders>
            <w:shd w:val="clear" w:color="auto" w:fill="auto"/>
            <w:vAlign w:val="center"/>
          </w:tcPr>
          <w:p w14:paraId="6D8990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62.3</w:t>
            </w:r>
          </w:p>
        </w:tc>
      </w:tr>
      <w:tr w14:paraId="2C592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55" w:type="dxa"/>
            <w:tcBorders>
              <w:top w:val="single" w:color="auto" w:sz="4" w:space="0"/>
              <w:left w:val="nil"/>
              <w:bottom w:val="single" w:color="auto" w:sz="4" w:space="0"/>
              <w:right w:val="single" w:color="auto" w:sz="4" w:space="0"/>
            </w:tcBorders>
            <w:vAlign w:val="center"/>
          </w:tcPr>
          <w:p w14:paraId="503402EB">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g5</w:t>
            </w:r>
          </w:p>
        </w:tc>
        <w:tc>
          <w:tcPr>
            <w:tcW w:w="793" w:type="dxa"/>
            <w:vMerge w:val="continue"/>
            <w:tcBorders>
              <w:left w:val="single" w:color="auto" w:sz="4" w:space="0"/>
              <w:right w:val="single" w:color="auto" w:sz="4" w:space="0"/>
            </w:tcBorders>
            <w:vAlign w:val="center"/>
          </w:tcPr>
          <w:p w14:paraId="7CCA85A7">
            <w:pPr>
              <w:spacing w:line="240" w:lineRule="auto"/>
              <w:ind w:firstLine="0" w:firstLineChars="0"/>
              <w:rPr>
                <w:rFonts w:hint="default" w:ascii="Times New Roman" w:hAnsi="Times New Roman" w:eastAsia="仿宋" w:cs="Times New Roman"/>
                <w:color w:val="000000" w:themeColor="text1"/>
                <w:sz w:val="21"/>
                <w:szCs w:val="21"/>
                <w14:textFill>
                  <w14:solidFill>
                    <w14:schemeClr w14:val="tx1"/>
                  </w14:solidFill>
                </w14:textFill>
              </w:rPr>
            </w:pPr>
          </w:p>
        </w:tc>
        <w:tc>
          <w:tcPr>
            <w:tcW w:w="1028" w:type="dxa"/>
            <w:tcBorders>
              <w:top w:val="single" w:color="auto" w:sz="4" w:space="0"/>
              <w:left w:val="single" w:color="auto" w:sz="4" w:space="0"/>
              <w:bottom w:val="single" w:color="auto" w:sz="4" w:space="0"/>
              <w:right w:val="single" w:color="auto" w:sz="4" w:space="0"/>
            </w:tcBorders>
            <w:vAlign w:val="center"/>
          </w:tcPr>
          <w:p w14:paraId="1223F2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0.51</w:t>
            </w:r>
          </w:p>
        </w:tc>
        <w:tc>
          <w:tcPr>
            <w:tcW w:w="809" w:type="dxa"/>
            <w:tcBorders>
              <w:top w:val="single" w:color="auto" w:sz="4" w:space="0"/>
              <w:left w:val="single" w:color="auto" w:sz="4" w:space="0"/>
              <w:bottom w:val="single" w:color="auto" w:sz="4" w:space="0"/>
              <w:right w:val="single" w:color="auto" w:sz="4" w:space="0"/>
            </w:tcBorders>
            <w:vAlign w:val="center"/>
          </w:tcPr>
          <w:p w14:paraId="474F17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0.51</w:t>
            </w:r>
          </w:p>
        </w:tc>
        <w:tc>
          <w:tcPr>
            <w:tcW w:w="901" w:type="dxa"/>
            <w:tcBorders>
              <w:top w:val="single" w:color="auto" w:sz="4" w:space="0"/>
              <w:left w:val="single" w:color="auto" w:sz="4" w:space="0"/>
              <w:bottom w:val="single" w:color="auto" w:sz="4" w:space="0"/>
              <w:right w:val="single" w:color="auto" w:sz="4" w:space="0"/>
            </w:tcBorders>
            <w:vAlign w:val="center"/>
          </w:tcPr>
          <w:p w14:paraId="55CB7E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0.45</w:t>
            </w:r>
          </w:p>
        </w:tc>
        <w:tc>
          <w:tcPr>
            <w:tcW w:w="936" w:type="dxa"/>
            <w:tcBorders>
              <w:top w:val="single" w:color="auto" w:sz="4" w:space="0"/>
              <w:left w:val="single" w:color="auto" w:sz="4" w:space="0"/>
              <w:bottom w:val="single" w:color="auto" w:sz="4" w:space="0"/>
              <w:right w:val="single" w:color="auto" w:sz="4" w:space="0"/>
            </w:tcBorders>
            <w:vAlign w:val="center"/>
          </w:tcPr>
          <w:p w14:paraId="4507C5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20" w:type="dxa"/>
            <w:tcBorders>
              <w:top w:val="single" w:color="auto" w:sz="4" w:space="0"/>
              <w:left w:val="single" w:color="auto" w:sz="4" w:space="0"/>
              <w:bottom w:val="single" w:color="auto" w:sz="4" w:space="0"/>
              <w:right w:val="single" w:color="auto" w:sz="4" w:space="0"/>
            </w:tcBorders>
            <w:vAlign w:val="center"/>
          </w:tcPr>
          <w:p w14:paraId="3391FC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67" w:type="dxa"/>
            <w:tcBorders>
              <w:top w:val="single" w:color="auto" w:sz="4" w:space="0"/>
              <w:left w:val="single" w:color="auto" w:sz="4" w:space="0"/>
              <w:bottom w:val="single" w:color="auto" w:sz="4" w:space="0"/>
              <w:right w:val="single" w:color="auto" w:sz="4" w:space="0"/>
            </w:tcBorders>
            <w:vAlign w:val="center"/>
          </w:tcPr>
          <w:p w14:paraId="6B81EF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693" w:type="dxa"/>
            <w:tcBorders>
              <w:top w:val="single" w:color="auto" w:sz="4" w:space="0"/>
              <w:left w:val="single" w:color="auto" w:sz="4" w:space="0"/>
              <w:bottom w:val="single" w:color="auto" w:sz="4" w:space="0"/>
              <w:right w:val="single" w:color="auto" w:sz="4" w:space="0"/>
            </w:tcBorders>
            <w:vAlign w:val="center"/>
          </w:tcPr>
          <w:p w14:paraId="096AF0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716" w:type="dxa"/>
            <w:tcBorders>
              <w:top w:val="single" w:color="auto" w:sz="4" w:space="0"/>
              <w:left w:val="single" w:color="auto" w:sz="4" w:space="0"/>
              <w:bottom w:val="single" w:color="auto" w:sz="4" w:space="0"/>
              <w:right w:val="single" w:color="auto" w:sz="4" w:space="0"/>
            </w:tcBorders>
            <w:vAlign w:val="center"/>
          </w:tcPr>
          <w:p w14:paraId="41FBB5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44" w:type="dxa"/>
            <w:tcBorders>
              <w:top w:val="single" w:color="auto" w:sz="4" w:space="0"/>
              <w:left w:val="single" w:color="auto" w:sz="4" w:space="0"/>
              <w:bottom w:val="single" w:color="auto" w:sz="4" w:space="0"/>
              <w:right w:val="nil"/>
            </w:tcBorders>
            <w:vAlign w:val="center"/>
          </w:tcPr>
          <w:p w14:paraId="2F0C98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786" w:type="dxa"/>
            <w:tcBorders>
              <w:top w:val="single" w:color="auto" w:sz="4" w:space="0"/>
              <w:left w:val="single" w:color="auto" w:sz="4" w:space="0"/>
              <w:bottom w:val="single" w:color="auto" w:sz="4" w:space="0"/>
              <w:right w:val="nil"/>
            </w:tcBorders>
            <w:vAlign w:val="center"/>
          </w:tcPr>
          <w:p w14:paraId="18CCDE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44" w:type="dxa"/>
            <w:tcBorders>
              <w:top w:val="single" w:color="auto" w:sz="4" w:space="0"/>
              <w:left w:val="single" w:color="auto" w:sz="4" w:space="0"/>
              <w:bottom w:val="single" w:color="auto" w:sz="4" w:space="0"/>
              <w:right w:val="nil"/>
            </w:tcBorders>
            <w:vAlign w:val="center"/>
          </w:tcPr>
          <w:p w14:paraId="0C4FDB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797" w:type="dxa"/>
            <w:tcBorders>
              <w:top w:val="single" w:color="auto" w:sz="4" w:space="0"/>
              <w:left w:val="single" w:color="auto" w:sz="4" w:space="0"/>
              <w:bottom w:val="single" w:color="auto" w:sz="4" w:space="0"/>
              <w:right w:val="nil"/>
            </w:tcBorders>
            <w:vAlign w:val="center"/>
          </w:tcPr>
          <w:p w14:paraId="223575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636" w:type="dxa"/>
            <w:tcBorders>
              <w:top w:val="single" w:color="auto" w:sz="4" w:space="0"/>
              <w:left w:val="single" w:color="auto" w:sz="4" w:space="0"/>
              <w:bottom w:val="single" w:color="auto" w:sz="4" w:space="0"/>
              <w:right w:val="nil"/>
            </w:tcBorders>
            <w:shd w:val="clear" w:color="auto" w:fill="auto"/>
            <w:vAlign w:val="center"/>
          </w:tcPr>
          <w:p w14:paraId="39E7CA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647" w:type="dxa"/>
            <w:tcBorders>
              <w:top w:val="single" w:color="auto" w:sz="4" w:space="0"/>
              <w:left w:val="single" w:color="auto" w:sz="4" w:space="0"/>
              <w:bottom w:val="single" w:color="auto" w:sz="4" w:space="0"/>
              <w:right w:val="nil"/>
            </w:tcBorders>
            <w:shd w:val="clear" w:color="auto" w:fill="auto"/>
            <w:vAlign w:val="center"/>
          </w:tcPr>
          <w:p w14:paraId="212B86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786" w:type="dxa"/>
            <w:tcBorders>
              <w:top w:val="single" w:color="auto" w:sz="4" w:space="0"/>
              <w:left w:val="single" w:color="auto" w:sz="4" w:space="0"/>
              <w:bottom w:val="single" w:color="auto" w:sz="4" w:space="0"/>
              <w:right w:val="nil"/>
            </w:tcBorders>
            <w:shd w:val="clear" w:color="auto" w:fill="auto"/>
            <w:vAlign w:val="center"/>
          </w:tcPr>
          <w:p w14:paraId="5AF6D9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r>
      <w:tr w14:paraId="560FF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55" w:type="dxa"/>
            <w:tcBorders>
              <w:top w:val="single" w:color="auto" w:sz="4" w:space="0"/>
              <w:left w:val="nil"/>
              <w:bottom w:val="single" w:color="auto" w:sz="4" w:space="0"/>
              <w:right w:val="single" w:color="auto" w:sz="4" w:space="0"/>
            </w:tcBorders>
            <w:vAlign w:val="center"/>
          </w:tcPr>
          <w:p w14:paraId="59555647">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bookmarkStart w:id="127" w:name="OLE_LINK24" w:colFirst="8" w:colLast="10"/>
            <w:r>
              <w:rPr>
                <w:rFonts w:hint="default" w:ascii="Times New Roman" w:hAnsi="Times New Roman" w:eastAsia="仿宋" w:cs="Times New Roman"/>
                <w:color w:val="000000" w:themeColor="text1"/>
                <w:sz w:val="21"/>
                <w:szCs w:val="21"/>
                <w14:textFill>
                  <w14:solidFill>
                    <w14:schemeClr w14:val="tx1"/>
                  </w14:solidFill>
                </w14:textFill>
              </w:rPr>
              <w:t>g1</w:t>
            </w:r>
          </w:p>
        </w:tc>
        <w:tc>
          <w:tcPr>
            <w:tcW w:w="793" w:type="dxa"/>
            <w:vMerge w:val="restart"/>
            <w:tcBorders>
              <w:top w:val="single" w:color="auto" w:sz="4" w:space="0"/>
              <w:left w:val="single" w:color="auto" w:sz="4" w:space="0"/>
              <w:right w:val="single" w:color="auto" w:sz="4" w:space="0"/>
            </w:tcBorders>
            <w:vAlign w:val="center"/>
          </w:tcPr>
          <w:p w14:paraId="5419452C">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lang w:val="en-US" w:eastAsia="zh-CN"/>
                <w14:textFill>
                  <w14:solidFill>
                    <w14:schemeClr w14:val="tx1"/>
                  </w14:solidFill>
                </w14:textFill>
              </w:rPr>
              <w:t>9</w:t>
            </w:r>
            <w:r>
              <w:rPr>
                <w:rFonts w:hint="default" w:ascii="Times New Roman" w:hAnsi="Times New Roman" w:eastAsia="仿宋" w:cs="Times New Roman"/>
                <w:color w:val="000000" w:themeColor="text1"/>
                <w:sz w:val="21"/>
                <w:szCs w:val="21"/>
                <w14:textFill>
                  <w14:solidFill>
                    <w14:schemeClr w14:val="tx1"/>
                  </w14:solidFill>
                </w14:textFill>
              </w:rPr>
              <w:t>月</w:t>
            </w:r>
          </w:p>
          <w:p w14:paraId="203D304E">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lang w:val="en-US" w:eastAsia="zh-CN"/>
                <w14:textFill>
                  <w14:solidFill>
                    <w14:schemeClr w14:val="tx1"/>
                  </w14:solidFill>
                </w14:textFill>
              </w:rPr>
              <w:t>29</w:t>
            </w:r>
            <w:r>
              <w:rPr>
                <w:rFonts w:hint="default" w:ascii="Times New Roman" w:hAnsi="Times New Roman" w:eastAsia="仿宋" w:cs="Times New Roman"/>
                <w:color w:val="000000" w:themeColor="text1"/>
                <w:sz w:val="21"/>
                <w:szCs w:val="21"/>
                <w14:textFill>
                  <w14:solidFill>
                    <w14:schemeClr w14:val="tx1"/>
                  </w14:solidFill>
                </w14:textFill>
              </w:rPr>
              <w:t>日</w:t>
            </w:r>
          </w:p>
        </w:tc>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14:paraId="21DFD1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09" w:type="dxa"/>
            <w:tcBorders>
              <w:top w:val="single" w:color="auto" w:sz="4" w:space="0"/>
              <w:left w:val="single" w:color="auto" w:sz="4" w:space="0"/>
              <w:bottom w:val="single" w:color="auto" w:sz="4" w:space="0"/>
              <w:right w:val="single" w:color="auto" w:sz="4" w:space="0"/>
            </w:tcBorders>
            <w:shd w:val="clear" w:color="auto" w:fill="auto"/>
            <w:vAlign w:val="center"/>
          </w:tcPr>
          <w:p w14:paraId="76E72F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1503A5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14:paraId="54268D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70790A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4B518A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14:paraId="61BF6B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603D70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844" w:type="dxa"/>
            <w:tcBorders>
              <w:top w:val="single" w:color="auto" w:sz="4" w:space="0"/>
              <w:left w:val="single" w:color="auto" w:sz="4" w:space="0"/>
              <w:bottom w:val="single" w:color="auto" w:sz="4" w:space="0"/>
              <w:right w:val="nil"/>
            </w:tcBorders>
            <w:shd w:val="clear" w:color="auto" w:fill="auto"/>
            <w:vAlign w:val="center"/>
          </w:tcPr>
          <w:p w14:paraId="456045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86" w:type="dxa"/>
            <w:tcBorders>
              <w:top w:val="single" w:color="auto" w:sz="4" w:space="0"/>
              <w:left w:val="single" w:color="auto" w:sz="4" w:space="0"/>
              <w:bottom w:val="single" w:color="auto" w:sz="4" w:space="0"/>
              <w:right w:val="nil"/>
            </w:tcBorders>
            <w:shd w:val="clear" w:color="auto" w:fill="auto"/>
            <w:vAlign w:val="center"/>
          </w:tcPr>
          <w:p w14:paraId="5068E4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844" w:type="dxa"/>
            <w:tcBorders>
              <w:top w:val="single" w:color="auto" w:sz="4" w:space="0"/>
              <w:left w:val="single" w:color="auto" w:sz="4" w:space="0"/>
              <w:bottom w:val="single" w:color="auto" w:sz="4" w:space="0"/>
              <w:right w:val="nil"/>
            </w:tcBorders>
            <w:shd w:val="clear" w:color="auto" w:fill="auto"/>
            <w:vAlign w:val="center"/>
          </w:tcPr>
          <w:p w14:paraId="16A4AB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797" w:type="dxa"/>
            <w:tcBorders>
              <w:top w:val="single" w:color="auto" w:sz="4" w:space="0"/>
              <w:left w:val="single" w:color="auto" w:sz="4" w:space="0"/>
              <w:bottom w:val="single" w:color="auto" w:sz="4" w:space="0"/>
              <w:right w:val="nil"/>
            </w:tcBorders>
            <w:shd w:val="clear" w:color="auto" w:fill="auto"/>
            <w:vAlign w:val="center"/>
          </w:tcPr>
          <w:p w14:paraId="104273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636" w:type="dxa"/>
            <w:tcBorders>
              <w:top w:val="single" w:color="auto" w:sz="4" w:space="0"/>
              <w:left w:val="single" w:color="auto" w:sz="4" w:space="0"/>
              <w:bottom w:val="single" w:color="auto" w:sz="4" w:space="0"/>
              <w:right w:val="nil"/>
            </w:tcBorders>
            <w:shd w:val="clear" w:color="auto" w:fill="auto"/>
            <w:vAlign w:val="center"/>
          </w:tcPr>
          <w:p w14:paraId="64BABA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647" w:type="dxa"/>
            <w:tcBorders>
              <w:top w:val="single" w:color="auto" w:sz="4" w:space="0"/>
              <w:left w:val="single" w:color="auto" w:sz="4" w:space="0"/>
              <w:bottom w:val="single" w:color="auto" w:sz="4" w:space="0"/>
              <w:right w:val="nil"/>
            </w:tcBorders>
            <w:shd w:val="clear" w:color="auto" w:fill="auto"/>
            <w:vAlign w:val="center"/>
          </w:tcPr>
          <w:p w14:paraId="602CBC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786" w:type="dxa"/>
            <w:tcBorders>
              <w:top w:val="single" w:color="auto" w:sz="4" w:space="0"/>
              <w:left w:val="single" w:color="auto" w:sz="4" w:space="0"/>
              <w:bottom w:val="single" w:color="auto" w:sz="4" w:space="0"/>
              <w:right w:val="nil"/>
            </w:tcBorders>
            <w:shd w:val="clear" w:color="auto" w:fill="auto"/>
            <w:vAlign w:val="center"/>
          </w:tcPr>
          <w:p w14:paraId="3F468C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5.1</w:t>
            </w:r>
          </w:p>
        </w:tc>
      </w:tr>
      <w:bookmarkEnd w:id="127"/>
      <w:tr w14:paraId="542B4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55" w:type="dxa"/>
            <w:tcBorders>
              <w:top w:val="single" w:color="auto" w:sz="4" w:space="0"/>
              <w:left w:val="nil"/>
              <w:bottom w:val="single" w:color="auto" w:sz="4" w:space="0"/>
              <w:right w:val="single" w:color="auto" w:sz="4" w:space="0"/>
            </w:tcBorders>
            <w:vAlign w:val="center"/>
          </w:tcPr>
          <w:p w14:paraId="70F1524E">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g2</w:t>
            </w:r>
          </w:p>
        </w:tc>
        <w:tc>
          <w:tcPr>
            <w:tcW w:w="793" w:type="dxa"/>
            <w:vMerge w:val="continue"/>
            <w:tcBorders>
              <w:left w:val="single" w:color="auto" w:sz="4" w:space="0"/>
              <w:right w:val="single" w:color="auto" w:sz="4" w:space="0"/>
            </w:tcBorders>
            <w:vAlign w:val="center"/>
          </w:tcPr>
          <w:p w14:paraId="5D49D593">
            <w:pPr>
              <w:spacing w:line="240" w:lineRule="auto"/>
              <w:ind w:firstLine="0" w:firstLineChars="0"/>
              <w:rPr>
                <w:rFonts w:hint="default" w:ascii="Times New Roman" w:hAnsi="Times New Roman" w:eastAsia="仿宋" w:cs="Times New Roman"/>
                <w:color w:val="000000" w:themeColor="text1"/>
                <w:sz w:val="21"/>
                <w:szCs w:val="21"/>
                <w14:textFill>
                  <w14:solidFill>
                    <w14:schemeClr w14:val="tx1"/>
                  </w14:solidFill>
                </w14:textFill>
              </w:rPr>
            </w:pPr>
          </w:p>
        </w:tc>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14:paraId="5C2788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09" w:type="dxa"/>
            <w:tcBorders>
              <w:top w:val="single" w:color="auto" w:sz="4" w:space="0"/>
              <w:left w:val="single" w:color="auto" w:sz="4" w:space="0"/>
              <w:bottom w:val="single" w:color="auto" w:sz="4" w:space="0"/>
              <w:right w:val="single" w:color="auto" w:sz="4" w:space="0"/>
            </w:tcBorders>
            <w:shd w:val="clear" w:color="auto" w:fill="auto"/>
            <w:vAlign w:val="center"/>
          </w:tcPr>
          <w:p w14:paraId="573536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6EDAC3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14:paraId="2A7B32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69F9D0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037F73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14:paraId="54D522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3AFDBC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844" w:type="dxa"/>
            <w:tcBorders>
              <w:top w:val="single" w:color="auto" w:sz="4" w:space="0"/>
              <w:left w:val="single" w:color="auto" w:sz="4" w:space="0"/>
              <w:bottom w:val="single" w:color="auto" w:sz="4" w:space="0"/>
              <w:right w:val="nil"/>
            </w:tcBorders>
            <w:shd w:val="clear" w:color="auto" w:fill="auto"/>
            <w:vAlign w:val="center"/>
          </w:tcPr>
          <w:p w14:paraId="2CFEF4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86" w:type="dxa"/>
            <w:tcBorders>
              <w:top w:val="single" w:color="auto" w:sz="4" w:space="0"/>
              <w:left w:val="single" w:color="auto" w:sz="4" w:space="0"/>
              <w:bottom w:val="single" w:color="auto" w:sz="4" w:space="0"/>
              <w:right w:val="nil"/>
            </w:tcBorders>
            <w:shd w:val="clear" w:color="auto" w:fill="auto"/>
            <w:vAlign w:val="center"/>
          </w:tcPr>
          <w:p w14:paraId="3107AA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844" w:type="dxa"/>
            <w:tcBorders>
              <w:top w:val="single" w:color="auto" w:sz="4" w:space="0"/>
              <w:left w:val="single" w:color="auto" w:sz="4" w:space="0"/>
              <w:bottom w:val="single" w:color="auto" w:sz="4" w:space="0"/>
              <w:right w:val="nil"/>
            </w:tcBorders>
            <w:shd w:val="clear" w:color="auto" w:fill="auto"/>
            <w:vAlign w:val="center"/>
          </w:tcPr>
          <w:p w14:paraId="0C2130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797" w:type="dxa"/>
            <w:tcBorders>
              <w:top w:val="single" w:color="auto" w:sz="4" w:space="0"/>
              <w:left w:val="single" w:color="auto" w:sz="4" w:space="0"/>
              <w:bottom w:val="single" w:color="auto" w:sz="4" w:space="0"/>
              <w:right w:val="nil"/>
            </w:tcBorders>
            <w:shd w:val="clear" w:color="auto" w:fill="auto"/>
            <w:vAlign w:val="center"/>
          </w:tcPr>
          <w:p w14:paraId="534D6C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636" w:type="dxa"/>
            <w:tcBorders>
              <w:top w:val="single" w:color="auto" w:sz="4" w:space="0"/>
              <w:left w:val="single" w:color="auto" w:sz="4" w:space="0"/>
              <w:bottom w:val="single" w:color="auto" w:sz="4" w:space="0"/>
              <w:right w:val="nil"/>
            </w:tcBorders>
            <w:shd w:val="clear" w:color="auto" w:fill="auto"/>
            <w:vAlign w:val="center"/>
          </w:tcPr>
          <w:p w14:paraId="4315E9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647" w:type="dxa"/>
            <w:tcBorders>
              <w:top w:val="single" w:color="auto" w:sz="4" w:space="0"/>
              <w:left w:val="single" w:color="auto" w:sz="4" w:space="0"/>
              <w:bottom w:val="single" w:color="auto" w:sz="4" w:space="0"/>
              <w:right w:val="nil"/>
            </w:tcBorders>
            <w:shd w:val="clear" w:color="auto" w:fill="auto"/>
            <w:vAlign w:val="center"/>
          </w:tcPr>
          <w:p w14:paraId="041143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59.3</w:t>
            </w:r>
          </w:p>
        </w:tc>
        <w:tc>
          <w:tcPr>
            <w:tcW w:w="786" w:type="dxa"/>
            <w:tcBorders>
              <w:top w:val="single" w:color="auto" w:sz="4" w:space="0"/>
              <w:left w:val="single" w:color="auto" w:sz="4" w:space="0"/>
              <w:bottom w:val="single" w:color="auto" w:sz="4" w:space="0"/>
              <w:right w:val="nil"/>
            </w:tcBorders>
            <w:shd w:val="clear" w:color="auto" w:fill="auto"/>
            <w:vAlign w:val="center"/>
          </w:tcPr>
          <w:p w14:paraId="1BE755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12.4</w:t>
            </w:r>
          </w:p>
        </w:tc>
      </w:tr>
      <w:tr w14:paraId="587E1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55" w:type="dxa"/>
            <w:tcBorders>
              <w:top w:val="single" w:color="auto" w:sz="4" w:space="0"/>
              <w:left w:val="nil"/>
              <w:bottom w:val="single" w:color="auto" w:sz="4" w:space="0"/>
              <w:right w:val="single" w:color="auto" w:sz="4" w:space="0"/>
            </w:tcBorders>
            <w:vAlign w:val="center"/>
          </w:tcPr>
          <w:p w14:paraId="7A48AB12">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g3</w:t>
            </w:r>
          </w:p>
        </w:tc>
        <w:tc>
          <w:tcPr>
            <w:tcW w:w="793" w:type="dxa"/>
            <w:vMerge w:val="continue"/>
            <w:tcBorders>
              <w:left w:val="single" w:color="auto" w:sz="4" w:space="0"/>
              <w:right w:val="single" w:color="auto" w:sz="4" w:space="0"/>
            </w:tcBorders>
            <w:vAlign w:val="center"/>
          </w:tcPr>
          <w:p w14:paraId="37129B4E">
            <w:pPr>
              <w:spacing w:line="240" w:lineRule="auto"/>
              <w:ind w:firstLine="0" w:firstLineChars="0"/>
              <w:rPr>
                <w:rFonts w:hint="default" w:ascii="Times New Roman" w:hAnsi="Times New Roman" w:eastAsia="仿宋" w:cs="Times New Roman"/>
                <w:color w:val="000000" w:themeColor="text1"/>
                <w:sz w:val="21"/>
                <w:szCs w:val="21"/>
                <w14:textFill>
                  <w14:solidFill>
                    <w14:schemeClr w14:val="tx1"/>
                  </w14:solidFill>
                </w14:textFill>
              </w:rPr>
            </w:pPr>
          </w:p>
        </w:tc>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14:paraId="49ADE4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09" w:type="dxa"/>
            <w:tcBorders>
              <w:top w:val="single" w:color="auto" w:sz="4" w:space="0"/>
              <w:left w:val="single" w:color="auto" w:sz="4" w:space="0"/>
              <w:bottom w:val="single" w:color="auto" w:sz="4" w:space="0"/>
              <w:right w:val="single" w:color="auto" w:sz="4" w:space="0"/>
            </w:tcBorders>
            <w:shd w:val="clear" w:color="auto" w:fill="auto"/>
            <w:vAlign w:val="center"/>
          </w:tcPr>
          <w:p w14:paraId="0B7C21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25E100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14:paraId="209EF8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27F94C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1E0FF0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14:paraId="5EDBBF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5FE856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844" w:type="dxa"/>
            <w:tcBorders>
              <w:top w:val="single" w:color="auto" w:sz="4" w:space="0"/>
              <w:left w:val="single" w:color="auto" w:sz="4" w:space="0"/>
              <w:bottom w:val="single" w:color="auto" w:sz="4" w:space="0"/>
              <w:right w:val="nil"/>
            </w:tcBorders>
            <w:shd w:val="clear" w:color="auto" w:fill="auto"/>
            <w:vAlign w:val="center"/>
          </w:tcPr>
          <w:p w14:paraId="5A5C95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86" w:type="dxa"/>
            <w:tcBorders>
              <w:top w:val="single" w:color="auto" w:sz="4" w:space="0"/>
              <w:left w:val="single" w:color="auto" w:sz="4" w:space="0"/>
              <w:bottom w:val="single" w:color="auto" w:sz="4" w:space="0"/>
              <w:right w:val="nil"/>
            </w:tcBorders>
            <w:shd w:val="clear" w:color="auto" w:fill="auto"/>
            <w:vAlign w:val="center"/>
          </w:tcPr>
          <w:p w14:paraId="466395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844" w:type="dxa"/>
            <w:tcBorders>
              <w:top w:val="single" w:color="auto" w:sz="4" w:space="0"/>
              <w:left w:val="single" w:color="auto" w:sz="4" w:space="0"/>
              <w:bottom w:val="single" w:color="auto" w:sz="4" w:space="0"/>
              <w:right w:val="nil"/>
            </w:tcBorders>
            <w:shd w:val="clear" w:color="auto" w:fill="auto"/>
            <w:vAlign w:val="center"/>
          </w:tcPr>
          <w:p w14:paraId="58E3E2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797" w:type="dxa"/>
            <w:tcBorders>
              <w:top w:val="single" w:color="auto" w:sz="4" w:space="0"/>
              <w:left w:val="single" w:color="auto" w:sz="4" w:space="0"/>
              <w:bottom w:val="single" w:color="auto" w:sz="4" w:space="0"/>
              <w:right w:val="nil"/>
            </w:tcBorders>
            <w:shd w:val="clear" w:color="auto" w:fill="auto"/>
            <w:vAlign w:val="center"/>
          </w:tcPr>
          <w:p w14:paraId="1FE37C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636" w:type="dxa"/>
            <w:tcBorders>
              <w:top w:val="single" w:color="auto" w:sz="4" w:space="0"/>
              <w:left w:val="single" w:color="auto" w:sz="4" w:space="0"/>
              <w:bottom w:val="single" w:color="auto" w:sz="4" w:space="0"/>
              <w:right w:val="nil"/>
            </w:tcBorders>
            <w:shd w:val="clear" w:color="auto" w:fill="auto"/>
            <w:vAlign w:val="center"/>
          </w:tcPr>
          <w:p w14:paraId="465E82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647" w:type="dxa"/>
            <w:tcBorders>
              <w:top w:val="single" w:color="auto" w:sz="4" w:space="0"/>
              <w:left w:val="single" w:color="auto" w:sz="4" w:space="0"/>
              <w:bottom w:val="single" w:color="auto" w:sz="4" w:space="0"/>
              <w:right w:val="nil"/>
            </w:tcBorders>
            <w:shd w:val="clear" w:color="auto" w:fill="auto"/>
            <w:vAlign w:val="center"/>
          </w:tcPr>
          <w:p w14:paraId="634F3C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36.3</w:t>
            </w:r>
          </w:p>
        </w:tc>
        <w:tc>
          <w:tcPr>
            <w:tcW w:w="786" w:type="dxa"/>
            <w:tcBorders>
              <w:top w:val="single" w:color="auto" w:sz="4" w:space="0"/>
              <w:left w:val="single" w:color="auto" w:sz="4" w:space="0"/>
              <w:bottom w:val="single" w:color="auto" w:sz="4" w:space="0"/>
              <w:right w:val="nil"/>
            </w:tcBorders>
            <w:shd w:val="clear" w:color="auto" w:fill="auto"/>
            <w:vAlign w:val="center"/>
          </w:tcPr>
          <w:p w14:paraId="4BB872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12.2</w:t>
            </w:r>
          </w:p>
        </w:tc>
      </w:tr>
      <w:tr w14:paraId="380EC5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55" w:type="dxa"/>
            <w:tcBorders>
              <w:top w:val="single" w:color="auto" w:sz="4" w:space="0"/>
              <w:left w:val="nil"/>
              <w:bottom w:val="single" w:color="auto" w:sz="4" w:space="0"/>
              <w:right w:val="single" w:color="auto" w:sz="4" w:space="0"/>
            </w:tcBorders>
            <w:vAlign w:val="center"/>
          </w:tcPr>
          <w:p w14:paraId="1C77447A">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g4</w:t>
            </w:r>
          </w:p>
        </w:tc>
        <w:tc>
          <w:tcPr>
            <w:tcW w:w="793" w:type="dxa"/>
            <w:vMerge w:val="continue"/>
            <w:tcBorders>
              <w:left w:val="single" w:color="auto" w:sz="4" w:space="0"/>
              <w:right w:val="single" w:color="auto" w:sz="4" w:space="0"/>
            </w:tcBorders>
            <w:vAlign w:val="center"/>
          </w:tcPr>
          <w:p w14:paraId="54AF9DAC">
            <w:pPr>
              <w:spacing w:line="240" w:lineRule="auto"/>
              <w:ind w:firstLine="0" w:firstLineChars="0"/>
              <w:rPr>
                <w:rFonts w:hint="default" w:ascii="Times New Roman" w:hAnsi="Times New Roman" w:eastAsia="仿宋" w:cs="Times New Roman"/>
                <w:color w:val="000000" w:themeColor="text1"/>
                <w:sz w:val="21"/>
                <w:szCs w:val="21"/>
                <w14:textFill>
                  <w14:solidFill>
                    <w14:schemeClr w14:val="tx1"/>
                  </w14:solidFill>
                </w14:textFill>
              </w:rPr>
            </w:pPr>
          </w:p>
        </w:tc>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14:paraId="4039FF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09" w:type="dxa"/>
            <w:tcBorders>
              <w:top w:val="single" w:color="auto" w:sz="4" w:space="0"/>
              <w:left w:val="single" w:color="auto" w:sz="4" w:space="0"/>
              <w:bottom w:val="single" w:color="auto" w:sz="4" w:space="0"/>
              <w:right w:val="single" w:color="auto" w:sz="4" w:space="0"/>
            </w:tcBorders>
            <w:shd w:val="clear" w:color="auto" w:fill="auto"/>
            <w:vAlign w:val="center"/>
          </w:tcPr>
          <w:p w14:paraId="2E1B33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14:paraId="01A7BF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14:paraId="7D646E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440BFF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867" w:type="dxa"/>
            <w:tcBorders>
              <w:top w:val="single" w:color="auto" w:sz="4" w:space="0"/>
              <w:left w:val="single" w:color="auto" w:sz="4" w:space="0"/>
              <w:bottom w:val="single" w:color="auto" w:sz="4" w:space="0"/>
              <w:right w:val="single" w:color="auto" w:sz="4" w:space="0"/>
            </w:tcBorders>
            <w:shd w:val="clear" w:color="auto" w:fill="auto"/>
            <w:vAlign w:val="center"/>
          </w:tcPr>
          <w:p w14:paraId="08EFC4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14:paraId="0B90AC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14:paraId="44909F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844" w:type="dxa"/>
            <w:tcBorders>
              <w:top w:val="single" w:color="auto" w:sz="4" w:space="0"/>
              <w:left w:val="single" w:color="auto" w:sz="4" w:space="0"/>
              <w:bottom w:val="single" w:color="auto" w:sz="4" w:space="0"/>
              <w:right w:val="nil"/>
            </w:tcBorders>
            <w:shd w:val="clear" w:color="auto" w:fill="auto"/>
            <w:vAlign w:val="center"/>
          </w:tcPr>
          <w:p w14:paraId="0E91D1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ND</w:t>
            </w:r>
          </w:p>
        </w:tc>
        <w:tc>
          <w:tcPr>
            <w:tcW w:w="786" w:type="dxa"/>
            <w:tcBorders>
              <w:top w:val="single" w:color="auto" w:sz="4" w:space="0"/>
              <w:left w:val="single" w:color="auto" w:sz="4" w:space="0"/>
              <w:bottom w:val="single" w:color="auto" w:sz="4" w:space="0"/>
              <w:right w:val="nil"/>
            </w:tcBorders>
            <w:shd w:val="clear" w:color="auto" w:fill="auto"/>
            <w:vAlign w:val="center"/>
          </w:tcPr>
          <w:p w14:paraId="013BB6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844" w:type="dxa"/>
            <w:tcBorders>
              <w:top w:val="single" w:color="auto" w:sz="4" w:space="0"/>
              <w:left w:val="single" w:color="auto" w:sz="4" w:space="0"/>
              <w:bottom w:val="single" w:color="auto" w:sz="4" w:space="0"/>
              <w:right w:val="nil"/>
            </w:tcBorders>
            <w:shd w:val="clear" w:color="auto" w:fill="auto"/>
            <w:vAlign w:val="center"/>
          </w:tcPr>
          <w:p w14:paraId="776651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797" w:type="dxa"/>
            <w:tcBorders>
              <w:top w:val="single" w:color="auto" w:sz="4" w:space="0"/>
              <w:left w:val="single" w:color="auto" w:sz="4" w:space="0"/>
              <w:bottom w:val="single" w:color="auto" w:sz="4" w:space="0"/>
              <w:right w:val="nil"/>
            </w:tcBorders>
            <w:shd w:val="clear" w:color="auto" w:fill="auto"/>
            <w:vAlign w:val="center"/>
          </w:tcPr>
          <w:p w14:paraId="556E3A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636" w:type="dxa"/>
            <w:tcBorders>
              <w:top w:val="single" w:color="auto" w:sz="4" w:space="0"/>
              <w:left w:val="single" w:color="auto" w:sz="4" w:space="0"/>
              <w:bottom w:val="single" w:color="auto" w:sz="4" w:space="0"/>
              <w:right w:val="nil"/>
            </w:tcBorders>
            <w:shd w:val="clear" w:color="auto" w:fill="auto"/>
            <w:vAlign w:val="center"/>
          </w:tcPr>
          <w:p w14:paraId="657891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20.9</w:t>
            </w:r>
          </w:p>
        </w:tc>
        <w:tc>
          <w:tcPr>
            <w:tcW w:w="647" w:type="dxa"/>
            <w:tcBorders>
              <w:top w:val="single" w:color="auto" w:sz="4" w:space="0"/>
              <w:left w:val="single" w:color="auto" w:sz="4" w:space="0"/>
              <w:bottom w:val="single" w:color="auto" w:sz="4" w:space="0"/>
              <w:right w:val="nil"/>
            </w:tcBorders>
            <w:shd w:val="clear" w:color="auto" w:fill="auto"/>
            <w:vAlign w:val="center"/>
          </w:tcPr>
          <w:p w14:paraId="0ED3E3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786" w:type="dxa"/>
            <w:tcBorders>
              <w:top w:val="single" w:color="auto" w:sz="4" w:space="0"/>
              <w:left w:val="single" w:color="auto" w:sz="4" w:space="0"/>
              <w:bottom w:val="single" w:color="auto" w:sz="4" w:space="0"/>
              <w:right w:val="nil"/>
            </w:tcBorders>
            <w:shd w:val="clear" w:color="auto" w:fill="auto"/>
            <w:vAlign w:val="center"/>
          </w:tcPr>
          <w:p w14:paraId="793447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14.6</w:t>
            </w:r>
          </w:p>
        </w:tc>
      </w:tr>
      <w:tr w14:paraId="28AA0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55" w:type="dxa"/>
            <w:tcBorders>
              <w:top w:val="single" w:color="auto" w:sz="4" w:space="0"/>
              <w:left w:val="nil"/>
              <w:bottom w:val="single" w:color="auto" w:sz="4" w:space="0"/>
              <w:right w:val="single" w:color="auto" w:sz="4" w:space="0"/>
            </w:tcBorders>
            <w:vAlign w:val="center"/>
          </w:tcPr>
          <w:p w14:paraId="5BADC83A">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g5</w:t>
            </w:r>
          </w:p>
        </w:tc>
        <w:tc>
          <w:tcPr>
            <w:tcW w:w="793" w:type="dxa"/>
            <w:vMerge w:val="continue"/>
            <w:tcBorders>
              <w:left w:val="single" w:color="auto" w:sz="4" w:space="0"/>
              <w:right w:val="single" w:color="auto" w:sz="4" w:space="0"/>
            </w:tcBorders>
            <w:vAlign w:val="center"/>
          </w:tcPr>
          <w:p w14:paraId="31C4727E">
            <w:pPr>
              <w:spacing w:line="240" w:lineRule="auto"/>
              <w:ind w:firstLine="0" w:firstLineChars="0"/>
              <w:rPr>
                <w:rFonts w:hint="default" w:ascii="Times New Roman" w:hAnsi="Times New Roman" w:eastAsia="仿宋" w:cs="Times New Roman"/>
                <w:color w:val="000000" w:themeColor="text1"/>
                <w:sz w:val="21"/>
                <w:szCs w:val="21"/>
                <w14:textFill>
                  <w14:solidFill>
                    <w14:schemeClr w14:val="tx1"/>
                  </w14:solidFill>
                </w14:textFill>
              </w:rPr>
            </w:pPr>
          </w:p>
        </w:tc>
        <w:tc>
          <w:tcPr>
            <w:tcW w:w="1028" w:type="dxa"/>
            <w:tcBorders>
              <w:top w:val="single" w:color="auto" w:sz="4" w:space="0"/>
              <w:left w:val="single" w:color="auto" w:sz="4" w:space="0"/>
              <w:bottom w:val="single" w:color="auto" w:sz="4" w:space="0"/>
              <w:right w:val="single" w:color="auto" w:sz="4" w:space="0"/>
            </w:tcBorders>
            <w:vAlign w:val="center"/>
          </w:tcPr>
          <w:p w14:paraId="428F60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0.36</w:t>
            </w:r>
          </w:p>
        </w:tc>
        <w:tc>
          <w:tcPr>
            <w:tcW w:w="809" w:type="dxa"/>
            <w:tcBorders>
              <w:top w:val="single" w:color="auto" w:sz="4" w:space="0"/>
              <w:left w:val="single" w:color="auto" w:sz="4" w:space="0"/>
              <w:bottom w:val="single" w:color="auto" w:sz="4" w:space="0"/>
              <w:right w:val="single" w:color="auto" w:sz="4" w:space="0"/>
            </w:tcBorders>
            <w:vAlign w:val="center"/>
          </w:tcPr>
          <w:p w14:paraId="57436B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0.38</w:t>
            </w:r>
          </w:p>
        </w:tc>
        <w:tc>
          <w:tcPr>
            <w:tcW w:w="901" w:type="dxa"/>
            <w:tcBorders>
              <w:top w:val="single" w:color="auto" w:sz="4" w:space="0"/>
              <w:left w:val="single" w:color="auto" w:sz="4" w:space="0"/>
              <w:bottom w:val="single" w:color="auto" w:sz="4" w:space="0"/>
              <w:right w:val="single" w:color="auto" w:sz="4" w:space="0"/>
            </w:tcBorders>
            <w:vAlign w:val="center"/>
          </w:tcPr>
          <w:p w14:paraId="4A1B4D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0.42</w:t>
            </w:r>
          </w:p>
        </w:tc>
        <w:tc>
          <w:tcPr>
            <w:tcW w:w="936" w:type="dxa"/>
            <w:tcBorders>
              <w:top w:val="single" w:color="auto" w:sz="4" w:space="0"/>
              <w:left w:val="single" w:color="auto" w:sz="4" w:space="0"/>
              <w:bottom w:val="single" w:color="auto" w:sz="4" w:space="0"/>
              <w:right w:val="single" w:color="auto" w:sz="4" w:space="0"/>
            </w:tcBorders>
            <w:vAlign w:val="center"/>
          </w:tcPr>
          <w:p w14:paraId="7B4BE3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20" w:type="dxa"/>
            <w:tcBorders>
              <w:top w:val="single" w:color="auto" w:sz="4" w:space="0"/>
              <w:left w:val="single" w:color="auto" w:sz="4" w:space="0"/>
              <w:bottom w:val="single" w:color="auto" w:sz="4" w:space="0"/>
              <w:right w:val="single" w:color="auto" w:sz="4" w:space="0"/>
            </w:tcBorders>
            <w:vAlign w:val="center"/>
          </w:tcPr>
          <w:p w14:paraId="2B58B0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67" w:type="dxa"/>
            <w:tcBorders>
              <w:top w:val="single" w:color="auto" w:sz="4" w:space="0"/>
              <w:left w:val="single" w:color="auto" w:sz="4" w:space="0"/>
              <w:bottom w:val="single" w:color="auto" w:sz="4" w:space="0"/>
              <w:right w:val="single" w:color="auto" w:sz="4" w:space="0"/>
            </w:tcBorders>
            <w:vAlign w:val="center"/>
          </w:tcPr>
          <w:p w14:paraId="5B7146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693" w:type="dxa"/>
            <w:tcBorders>
              <w:top w:val="single" w:color="auto" w:sz="4" w:space="0"/>
              <w:left w:val="single" w:color="auto" w:sz="4" w:space="0"/>
              <w:bottom w:val="single" w:color="auto" w:sz="4" w:space="0"/>
              <w:right w:val="single" w:color="auto" w:sz="4" w:space="0"/>
            </w:tcBorders>
            <w:vAlign w:val="center"/>
          </w:tcPr>
          <w:p w14:paraId="592351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716" w:type="dxa"/>
            <w:tcBorders>
              <w:top w:val="single" w:color="auto" w:sz="4" w:space="0"/>
              <w:left w:val="single" w:color="auto" w:sz="4" w:space="0"/>
              <w:bottom w:val="single" w:color="auto" w:sz="4" w:space="0"/>
              <w:right w:val="single" w:color="auto" w:sz="4" w:space="0"/>
            </w:tcBorders>
            <w:vAlign w:val="center"/>
          </w:tcPr>
          <w:p w14:paraId="6D6D33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44" w:type="dxa"/>
            <w:tcBorders>
              <w:top w:val="single" w:color="auto" w:sz="4" w:space="0"/>
              <w:left w:val="single" w:color="auto" w:sz="4" w:space="0"/>
              <w:bottom w:val="single" w:color="auto" w:sz="4" w:space="0"/>
              <w:right w:val="nil"/>
            </w:tcBorders>
            <w:vAlign w:val="center"/>
          </w:tcPr>
          <w:p w14:paraId="3A84CE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786" w:type="dxa"/>
            <w:tcBorders>
              <w:top w:val="single" w:color="auto" w:sz="4" w:space="0"/>
              <w:left w:val="single" w:color="auto" w:sz="4" w:space="0"/>
              <w:bottom w:val="single" w:color="auto" w:sz="4" w:space="0"/>
              <w:right w:val="nil"/>
            </w:tcBorders>
            <w:vAlign w:val="center"/>
          </w:tcPr>
          <w:p w14:paraId="6DBEA8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844" w:type="dxa"/>
            <w:tcBorders>
              <w:top w:val="single" w:color="auto" w:sz="4" w:space="0"/>
              <w:left w:val="single" w:color="auto" w:sz="4" w:space="0"/>
              <w:bottom w:val="single" w:color="auto" w:sz="4" w:space="0"/>
              <w:right w:val="nil"/>
            </w:tcBorders>
            <w:vAlign w:val="center"/>
          </w:tcPr>
          <w:p w14:paraId="105545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797" w:type="dxa"/>
            <w:tcBorders>
              <w:top w:val="single" w:color="auto" w:sz="4" w:space="0"/>
              <w:left w:val="single" w:color="auto" w:sz="4" w:space="0"/>
              <w:bottom w:val="single" w:color="auto" w:sz="4" w:space="0"/>
              <w:right w:val="nil"/>
            </w:tcBorders>
            <w:vAlign w:val="center"/>
          </w:tcPr>
          <w:p w14:paraId="3FD336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636" w:type="dxa"/>
            <w:tcBorders>
              <w:top w:val="single" w:color="auto" w:sz="4" w:space="0"/>
              <w:left w:val="single" w:color="auto" w:sz="4" w:space="0"/>
              <w:bottom w:val="single" w:color="auto" w:sz="4" w:space="0"/>
              <w:right w:val="nil"/>
            </w:tcBorders>
            <w:vAlign w:val="center"/>
          </w:tcPr>
          <w:p w14:paraId="28D736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647" w:type="dxa"/>
            <w:tcBorders>
              <w:top w:val="single" w:color="auto" w:sz="4" w:space="0"/>
              <w:left w:val="single" w:color="auto" w:sz="4" w:space="0"/>
              <w:bottom w:val="single" w:color="auto" w:sz="4" w:space="0"/>
              <w:right w:val="nil"/>
            </w:tcBorders>
            <w:vAlign w:val="center"/>
          </w:tcPr>
          <w:p w14:paraId="59A7A7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786" w:type="dxa"/>
            <w:tcBorders>
              <w:top w:val="single" w:color="auto" w:sz="4" w:space="0"/>
              <w:left w:val="single" w:color="auto" w:sz="4" w:space="0"/>
              <w:bottom w:val="single" w:color="auto" w:sz="4" w:space="0"/>
              <w:right w:val="nil"/>
            </w:tcBorders>
            <w:vAlign w:val="center"/>
          </w:tcPr>
          <w:p w14:paraId="44A170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r>
      <w:tr w14:paraId="4617C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848" w:type="dxa"/>
            <w:gridSpan w:val="2"/>
            <w:tcBorders>
              <w:top w:val="single" w:color="auto" w:sz="4" w:space="0"/>
              <w:left w:val="nil"/>
              <w:bottom w:val="single" w:color="auto" w:sz="4" w:space="0"/>
              <w:right w:val="single" w:color="auto" w:sz="4" w:space="0"/>
            </w:tcBorders>
            <w:vAlign w:val="center"/>
          </w:tcPr>
          <w:p w14:paraId="5ACC10D8">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最大浓度</w:t>
            </w:r>
          </w:p>
        </w:tc>
        <w:tc>
          <w:tcPr>
            <w:tcW w:w="2738" w:type="dxa"/>
            <w:gridSpan w:val="3"/>
            <w:tcBorders>
              <w:top w:val="single" w:color="auto" w:sz="4" w:space="0"/>
              <w:left w:val="single" w:color="auto" w:sz="4" w:space="0"/>
              <w:bottom w:val="single" w:color="auto" w:sz="4" w:space="0"/>
              <w:right w:val="single" w:color="auto" w:sz="4" w:space="0"/>
            </w:tcBorders>
            <w:vAlign w:val="center"/>
          </w:tcPr>
          <w:p w14:paraId="10BCFF57">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0.</w:t>
            </w:r>
            <w:r>
              <w:rPr>
                <w:rFonts w:hint="default" w:ascii="Times New Roman" w:hAnsi="Times New Roman" w:eastAsia="仿宋" w:cs="Times New Roman"/>
                <w:color w:val="000000" w:themeColor="text1"/>
                <w:sz w:val="21"/>
                <w:szCs w:val="21"/>
                <w:lang w:val="en-US" w:eastAsia="zh-CN"/>
                <w14:textFill>
                  <w14:solidFill>
                    <w14:schemeClr w14:val="tx1"/>
                  </w14:solidFill>
                </w14:textFill>
              </w:rPr>
              <w:t>51</w:t>
            </w:r>
            <w:r>
              <w:rPr>
                <w:rFonts w:hint="default" w:ascii="Times New Roman" w:hAnsi="Times New Roman" w:eastAsia="仿宋" w:cs="Times New Roman"/>
                <w:color w:val="000000" w:themeColor="text1"/>
                <w:sz w:val="21"/>
                <w:szCs w:val="21"/>
                <w14:textFill>
                  <w14:solidFill>
                    <w14:schemeClr w14:val="tx1"/>
                  </w14:solidFill>
                </w14:textFill>
              </w:rPr>
              <w:t>（g5）</w:t>
            </w:r>
          </w:p>
        </w:tc>
        <w:tc>
          <w:tcPr>
            <w:tcW w:w="2623" w:type="dxa"/>
            <w:gridSpan w:val="3"/>
            <w:tcBorders>
              <w:top w:val="single" w:color="auto" w:sz="4" w:space="0"/>
              <w:left w:val="single" w:color="auto" w:sz="4" w:space="0"/>
              <w:bottom w:val="single" w:color="auto" w:sz="4" w:space="0"/>
              <w:right w:val="nil"/>
            </w:tcBorders>
            <w:vAlign w:val="center"/>
          </w:tcPr>
          <w:p w14:paraId="2A5D90B9">
            <w:pPr>
              <w:spacing w:line="240" w:lineRule="auto"/>
              <w:ind w:firstLine="0" w:firstLineChars="0"/>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lang w:val="en-US" w:eastAsia="zh-CN"/>
                <w14:textFill>
                  <w14:solidFill>
                    <w14:schemeClr w14:val="tx1"/>
                  </w14:solidFill>
                </w14:textFill>
              </w:rPr>
              <w:t>0.11</w:t>
            </w:r>
          </w:p>
        </w:tc>
        <w:tc>
          <w:tcPr>
            <w:tcW w:w="2253" w:type="dxa"/>
            <w:gridSpan w:val="3"/>
            <w:tcBorders>
              <w:top w:val="single" w:color="auto" w:sz="4" w:space="0"/>
              <w:left w:val="single" w:color="auto" w:sz="4" w:space="0"/>
              <w:bottom w:val="single" w:color="auto" w:sz="4" w:space="0"/>
              <w:right w:val="nil"/>
            </w:tcBorders>
            <w:vAlign w:val="center"/>
          </w:tcPr>
          <w:p w14:paraId="3AAC68BE">
            <w:pPr>
              <w:spacing w:line="240" w:lineRule="auto"/>
              <w:ind w:firstLine="0" w:firstLineChars="0"/>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lang w:val="en-US" w:eastAsia="zh-CN"/>
                <w14:textFill>
                  <w14:solidFill>
                    <w14:schemeClr w14:val="tx1"/>
                  </w14:solidFill>
                </w14:textFill>
              </w:rPr>
              <w:t>ND（检出限0.01</w:t>
            </w:r>
            <w:r>
              <w:rPr>
                <w:rFonts w:hint="default" w:ascii="Times New Roman" w:hAnsi="Times New Roman" w:eastAsia="仿宋" w:cs="Times New Roman"/>
                <w:b w:val="0"/>
                <w:bCs/>
                <w:color w:val="000000" w:themeColor="text1"/>
                <w:sz w:val="21"/>
                <w:szCs w:val="21"/>
                <w14:textFill>
                  <w14:solidFill>
                    <w14:schemeClr w14:val="tx1"/>
                  </w14:solidFill>
                </w14:textFill>
              </w:rPr>
              <w:t>mg/m</w:t>
            </w:r>
            <w:r>
              <w:rPr>
                <w:rFonts w:hint="default" w:ascii="Times New Roman" w:hAnsi="Times New Roman" w:eastAsia="仿宋"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eastAsia="仿宋" w:cs="Times New Roman"/>
                <w:b w:val="0"/>
                <w:bCs/>
                <w:color w:val="000000" w:themeColor="text1"/>
                <w:sz w:val="21"/>
                <w:szCs w:val="21"/>
                <w:lang w:val="en-US" w:eastAsia="zh-CN"/>
                <w14:textFill>
                  <w14:solidFill>
                    <w14:schemeClr w14:val="tx1"/>
                  </w14:solidFill>
                </w14:textFill>
              </w:rPr>
              <w:t>）</w:t>
            </w:r>
          </w:p>
        </w:tc>
        <w:tc>
          <w:tcPr>
            <w:tcW w:w="2427" w:type="dxa"/>
            <w:gridSpan w:val="3"/>
            <w:tcBorders>
              <w:top w:val="single" w:color="auto" w:sz="4" w:space="0"/>
              <w:left w:val="single" w:color="auto" w:sz="4" w:space="0"/>
              <w:bottom w:val="single" w:color="auto" w:sz="4" w:space="0"/>
              <w:right w:val="nil"/>
            </w:tcBorders>
            <w:vAlign w:val="center"/>
          </w:tcPr>
          <w:p w14:paraId="40693B2E">
            <w:pPr>
              <w:spacing w:line="240" w:lineRule="auto"/>
              <w:ind w:firstLine="0" w:firstLineChars="0"/>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&lt;10</w:t>
            </w:r>
          </w:p>
        </w:tc>
        <w:tc>
          <w:tcPr>
            <w:tcW w:w="2069" w:type="dxa"/>
            <w:gridSpan w:val="3"/>
            <w:tcBorders>
              <w:top w:val="single" w:color="auto" w:sz="4" w:space="0"/>
              <w:left w:val="single" w:color="auto" w:sz="4" w:space="0"/>
              <w:bottom w:val="single" w:color="auto" w:sz="4" w:space="0"/>
              <w:right w:val="nil"/>
            </w:tcBorders>
            <w:vAlign w:val="center"/>
          </w:tcPr>
          <w:p w14:paraId="1AA29C43">
            <w:pPr>
              <w:spacing w:line="240" w:lineRule="auto"/>
              <w:ind w:firstLine="0" w:firstLineChars="0"/>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lang w:val="en-US" w:eastAsia="zh-CN"/>
                <w14:textFill>
                  <w14:solidFill>
                    <w14:schemeClr w14:val="tx1"/>
                  </w14:solidFill>
                </w14:textFill>
              </w:rPr>
              <w:t>631</w:t>
            </w:r>
          </w:p>
        </w:tc>
      </w:tr>
      <w:tr w14:paraId="47AB3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848" w:type="dxa"/>
            <w:gridSpan w:val="2"/>
            <w:tcBorders>
              <w:top w:val="single" w:color="auto" w:sz="4" w:space="0"/>
              <w:left w:val="nil"/>
              <w:bottom w:val="single" w:color="auto" w:sz="4" w:space="0"/>
              <w:right w:val="single" w:color="auto" w:sz="4" w:space="0"/>
            </w:tcBorders>
            <w:vAlign w:val="center"/>
          </w:tcPr>
          <w:p w14:paraId="6E8E7430">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b/>
                <w:color w:val="000000" w:themeColor="text1"/>
                <w:sz w:val="21"/>
                <w:szCs w:val="21"/>
                <w14:textFill>
                  <w14:solidFill>
                    <w14:schemeClr w14:val="tx1"/>
                  </w14:solidFill>
                </w14:textFill>
              </w:rPr>
              <w:t>标准限值</w:t>
            </w:r>
          </w:p>
        </w:tc>
        <w:tc>
          <w:tcPr>
            <w:tcW w:w="2738" w:type="dxa"/>
            <w:gridSpan w:val="3"/>
            <w:tcBorders>
              <w:top w:val="single" w:color="auto" w:sz="4" w:space="0"/>
              <w:left w:val="single" w:color="auto" w:sz="4" w:space="0"/>
              <w:bottom w:val="single" w:color="auto" w:sz="4" w:space="0"/>
              <w:right w:val="single" w:color="auto" w:sz="4" w:space="0"/>
            </w:tcBorders>
            <w:vAlign w:val="center"/>
          </w:tcPr>
          <w:p w14:paraId="37575A61">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6（g5）</w:t>
            </w:r>
          </w:p>
        </w:tc>
        <w:tc>
          <w:tcPr>
            <w:tcW w:w="2623" w:type="dxa"/>
            <w:gridSpan w:val="3"/>
            <w:tcBorders>
              <w:top w:val="single" w:color="auto" w:sz="4" w:space="0"/>
              <w:left w:val="single" w:color="auto" w:sz="4" w:space="0"/>
              <w:bottom w:val="single" w:color="auto" w:sz="4" w:space="0"/>
              <w:right w:val="nil"/>
            </w:tcBorders>
            <w:vAlign w:val="center"/>
          </w:tcPr>
          <w:p w14:paraId="1F7AE32B">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lang w:val="en-US" w:eastAsia="zh-CN"/>
                <w14:textFill>
                  <w14:solidFill>
                    <w14:schemeClr w14:val="tx1"/>
                  </w14:solidFill>
                </w14:textFill>
              </w:rPr>
              <w:t>1.5</w:t>
            </w:r>
          </w:p>
        </w:tc>
        <w:tc>
          <w:tcPr>
            <w:tcW w:w="2253" w:type="dxa"/>
            <w:gridSpan w:val="3"/>
            <w:tcBorders>
              <w:top w:val="single" w:color="auto" w:sz="4" w:space="0"/>
              <w:left w:val="single" w:color="auto" w:sz="4" w:space="0"/>
              <w:bottom w:val="single" w:color="auto" w:sz="4" w:space="0"/>
              <w:right w:val="nil"/>
            </w:tcBorders>
            <w:vAlign w:val="center"/>
          </w:tcPr>
          <w:p w14:paraId="17FBD42D">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lang w:val="en-US" w:eastAsia="zh-CN"/>
                <w14:textFill>
                  <w14:solidFill>
                    <w14:schemeClr w14:val="tx1"/>
                  </w14:solidFill>
                </w14:textFill>
              </w:rPr>
              <w:t>0.06</w:t>
            </w:r>
          </w:p>
        </w:tc>
        <w:tc>
          <w:tcPr>
            <w:tcW w:w="2427" w:type="dxa"/>
            <w:gridSpan w:val="3"/>
            <w:tcBorders>
              <w:top w:val="single" w:color="auto" w:sz="4" w:space="0"/>
              <w:left w:val="single" w:color="auto" w:sz="4" w:space="0"/>
              <w:bottom w:val="single" w:color="auto" w:sz="4" w:space="0"/>
              <w:right w:val="nil"/>
            </w:tcBorders>
            <w:vAlign w:val="center"/>
          </w:tcPr>
          <w:p w14:paraId="1F23D7AC">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20</w:t>
            </w:r>
          </w:p>
        </w:tc>
        <w:tc>
          <w:tcPr>
            <w:tcW w:w="2069" w:type="dxa"/>
            <w:gridSpan w:val="3"/>
            <w:tcBorders>
              <w:top w:val="single" w:color="auto" w:sz="4" w:space="0"/>
              <w:left w:val="single" w:color="auto" w:sz="4" w:space="0"/>
              <w:bottom w:val="single" w:color="auto" w:sz="4" w:space="0"/>
              <w:right w:val="nil"/>
            </w:tcBorders>
            <w:vAlign w:val="center"/>
          </w:tcPr>
          <w:p w14:paraId="3E1B55D3">
            <w:pPr>
              <w:spacing w:line="240" w:lineRule="auto"/>
              <w:ind w:firstLine="0" w:firstLineChars="0"/>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lang w:val="en-US" w:eastAsia="zh-CN"/>
                <w14:textFill>
                  <w14:solidFill>
                    <w14:schemeClr w14:val="tx1"/>
                  </w14:solidFill>
                </w14:textFill>
              </w:rPr>
              <w:t>1000</w:t>
            </w:r>
          </w:p>
        </w:tc>
      </w:tr>
      <w:tr w14:paraId="62CCA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848" w:type="dxa"/>
            <w:gridSpan w:val="2"/>
            <w:tcBorders>
              <w:top w:val="single" w:color="auto" w:sz="4" w:space="0"/>
              <w:left w:val="nil"/>
              <w:right w:val="single" w:color="auto" w:sz="4" w:space="0"/>
            </w:tcBorders>
            <w:vAlign w:val="center"/>
          </w:tcPr>
          <w:p w14:paraId="7729127E">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b/>
                <w:color w:val="000000" w:themeColor="text1"/>
                <w:sz w:val="21"/>
                <w:szCs w:val="21"/>
                <w14:textFill>
                  <w14:solidFill>
                    <w14:schemeClr w14:val="tx1"/>
                  </w14:solidFill>
                </w14:textFill>
              </w:rPr>
              <w:t>达标情况</w:t>
            </w:r>
          </w:p>
        </w:tc>
        <w:tc>
          <w:tcPr>
            <w:tcW w:w="2738" w:type="dxa"/>
            <w:gridSpan w:val="3"/>
            <w:tcBorders>
              <w:top w:val="single" w:color="auto" w:sz="4" w:space="0"/>
              <w:left w:val="single" w:color="auto" w:sz="4" w:space="0"/>
              <w:right w:val="single" w:color="auto" w:sz="4" w:space="0"/>
            </w:tcBorders>
            <w:vAlign w:val="center"/>
          </w:tcPr>
          <w:p w14:paraId="473FCA51">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达标</w:t>
            </w:r>
          </w:p>
        </w:tc>
        <w:tc>
          <w:tcPr>
            <w:tcW w:w="2623" w:type="dxa"/>
            <w:gridSpan w:val="3"/>
            <w:tcBorders>
              <w:top w:val="single" w:color="auto" w:sz="4" w:space="0"/>
              <w:left w:val="single" w:color="auto" w:sz="4" w:space="0"/>
              <w:right w:val="nil"/>
            </w:tcBorders>
            <w:vAlign w:val="center"/>
          </w:tcPr>
          <w:p w14:paraId="66F38D8A">
            <w:pPr>
              <w:spacing w:line="240" w:lineRule="auto"/>
              <w:ind w:firstLine="0" w:firstLineChars="0"/>
              <w:jc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达标</w:t>
            </w:r>
          </w:p>
        </w:tc>
        <w:tc>
          <w:tcPr>
            <w:tcW w:w="2253" w:type="dxa"/>
            <w:gridSpan w:val="3"/>
            <w:tcBorders>
              <w:top w:val="single" w:color="auto" w:sz="4" w:space="0"/>
              <w:left w:val="single" w:color="auto" w:sz="4" w:space="0"/>
              <w:right w:val="nil"/>
            </w:tcBorders>
            <w:vAlign w:val="center"/>
          </w:tcPr>
          <w:p w14:paraId="11632324">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达标</w:t>
            </w:r>
          </w:p>
        </w:tc>
        <w:tc>
          <w:tcPr>
            <w:tcW w:w="2427" w:type="dxa"/>
            <w:gridSpan w:val="3"/>
            <w:tcBorders>
              <w:top w:val="single" w:color="auto" w:sz="4" w:space="0"/>
              <w:left w:val="single" w:color="auto" w:sz="4" w:space="0"/>
              <w:right w:val="nil"/>
            </w:tcBorders>
            <w:vAlign w:val="center"/>
          </w:tcPr>
          <w:p w14:paraId="11D7C676">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达标</w:t>
            </w:r>
          </w:p>
        </w:tc>
        <w:tc>
          <w:tcPr>
            <w:tcW w:w="2069" w:type="dxa"/>
            <w:gridSpan w:val="3"/>
            <w:tcBorders>
              <w:top w:val="single" w:color="auto" w:sz="4" w:space="0"/>
              <w:left w:val="single" w:color="auto" w:sz="4" w:space="0"/>
              <w:right w:val="nil"/>
            </w:tcBorders>
            <w:vAlign w:val="center"/>
          </w:tcPr>
          <w:p w14:paraId="4E6C0155">
            <w:pPr>
              <w:spacing w:line="240" w:lineRule="auto"/>
              <w:ind w:firstLine="0" w:firstLineChars="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sz w:val="21"/>
                <w:szCs w:val="21"/>
                <w14:textFill>
                  <w14:solidFill>
                    <w14:schemeClr w14:val="tx1"/>
                  </w14:solidFill>
                </w14:textFill>
              </w:rPr>
              <w:t>达标</w:t>
            </w:r>
          </w:p>
        </w:tc>
      </w:tr>
    </w:tbl>
    <w:p w14:paraId="1F8F7D9E">
      <w:pPr>
        <w:spacing w:line="240" w:lineRule="auto"/>
        <w:ind w:firstLine="0" w:firstLineChars="0"/>
        <w:rPr>
          <w:rFonts w:hint="default" w:ascii="Times New Roman" w:hAnsi="Times New Roman" w:cs="Times New Roman"/>
          <w:b/>
          <w:bCs/>
          <w:color w:val="000000"/>
          <w:sz w:val="18"/>
          <w:szCs w:val="18"/>
        </w:rPr>
        <w:sectPr>
          <w:pgSz w:w="16838" w:h="11906" w:orient="landscape"/>
          <w:pgMar w:top="1418" w:right="1440" w:bottom="1418" w:left="1440" w:header="851" w:footer="992" w:gutter="0"/>
          <w:cols w:space="425" w:num="1"/>
          <w:docGrid w:type="lines" w:linePitch="326" w:charSpace="0"/>
        </w:sectPr>
      </w:pPr>
    </w:p>
    <w:p w14:paraId="039F9FC3">
      <w:pPr>
        <w:pStyle w:val="4"/>
        <w:spacing w:beforeLines="0" w:afterLines="0"/>
        <w:rPr>
          <w:rFonts w:hint="default" w:ascii="Times New Roman" w:hAnsi="Times New Roman" w:cs="Times New Roman"/>
          <w:color w:val="000000"/>
        </w:rPr>
      </w:pPr>
      <w:bookmarkStart w:id="128" w:name="_Toc520410277"/>
      <w:r>
        <w:rPr>
          <w:rFonts w:hint="default" w:ascii="Times New Roman" w:hAnsi="Times New Roman" w:cs="Times New Roman"/>
          <w:color w:val="000000"/>
        </w:rPr>
        <w:t>9.2.4 厂界噪声</w:t>
      </w:r>
      <w:bookmarkEnd w:id="128"/>
    </w:p>
    <w:p w14:paraId="2E153BC6">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项目厂界噪声监测结果见表9.2-8。</w:t>
      </w:r>
    </w:p>
    <w:p w14:paraId="02DD0FE7">
      <w:pPr>
        <w:spacing w:line="480" w:lineRule="exact"/>
        <w:ind w:firstLine="0" w:firstLineChars="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rPr>
        <w:t>表9.2-8  厂界噪声监测结果</w:t>
      </w:r>
    </w:p>
    <w:p w14:paraId="626BEAC4">
      <w:pPr>
        <w:spacing w:line="480" w:lineRule="exact"/>
        <w:ind w:firstLine="422"/>
        <w:jc w:val="right"/>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单位：dB(A)</w:t>
      </w:r>
    </w:p>
    <w:tbl>
      <w:tblPr>
        <w:tblStyle w:val="25"/>
        <w:tblW w:w="83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8"/>
        <w:gridCol w:w="992"/>
        <w:gridCol w:w="992"/>
        <w:gridCol w:w="992"/>
        <w:gridCol w:w="951"/>
        <w:gridCol w:w="709"/>
        <w:gridCol w:w="1584"/>
      </w:tblGrid>
      <w:tr w14:paraId="3D8F9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168" w:type="dxa"/>
            <w:vMerge w:val="restart"/>
            <w:tcBorders>
              <w:top w:val="single" w:color="auto" w:sz="12" w:space="0"/>
            </w:tcBorders>
            <w:vAlign w:val="center"/>
          </w:tcPr>
          <w:p w14:paraId="39999C9F">
            <w:pPr>
              <w:spacing w:line="360" w:lineRule="exact"/>
              <w:ind w:firstLine="0" w:firstLineChars="0"/>
              <w:jc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sz w:val="21"/>
                <w:szCs w:val="21"/>
              </w:rPr>
              <w:t>测点</w:t>
            </w:r>
          </w:p>
          <w:p w14:paraId="1FD863D6">
            <w:pPr>
              <w:spacing w:line="360" w:lineRule="exact"/>
              <w:ind w:firstLine="0" w:firstLineChars="0"/>
              <w:jc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sz w:val="21"/>
                <w:szCs w:val="21"/>
              </w:rPr>
              <w:t>位置</w:t>
            </w:r>
          </w:p>
        </w:tc>
        <w:tc>
          <w:tcPr>
            <w:tcW w:w="3927" w:type="dxa"/>
            <w:gridSpan w:val="4"/>
            <w:tcBorders>
              <w:top w:val="single" w:color="auto" w:sz="12" w:space="0"/>
            </w:tcBorders>
            <w:vAlign w:val="center"/>
          </w:tcPr>
          <w:p w14:paraId="37714C49">
            <w:pPr>
              <w:pStyle w:val="57"/>
              <w:widowControl w:val="0"/>
              <w:pBdr>
                <w:left w:val="none" w:color="auto" w:sz="0" w:space="0"/>
              </w:pBdr>
              <w:spacing w:before="0" w:beforeAutospacing="0" w:after="0" w:afterAutospacing="0" w:line="360" w:lineRule="exact"/>
              <w:rPr>
                <w:rFonts w:hint="default" w:ascii="Times New Roman" w:hAnsi="Times New Roman" w:eastAsia="仿宋" w:cs="Times New Roman"/>
                <w:b/>
                <w:color w:val="000000"/>
                <w:kern w:val="2"/>
                <w:sz w:val="21"/>
                <w:szCs w:val="21"/>
              </w:rPr>
            </w:pPr>
            <w:r>
              <w:rPr>
                <w:rFonts w:hint="default" w:ascii="Times New Roman" w:hAnsi="Times New Roman" w:eastAsia="仿宋" w:cs="Times New Roman"/>
                <w:b/>
                <w:color w:val="000000"/>
                <w:kern w:val="2"/>
                <w:sz w:val="21"/>
                <w:szCs w:val="21"/>
              </w:rPr>
              <w:t>等效连续A声级</w:t>
            </w:r>
          </w:p>
        </w:tc>
        <w:tc>
          <w:tcPr>
            <w:tcW w:w="709" w:type="dxa"/>
            <w:vMerge w:val="restart"/>
            <w:tcBorders>
              <w:top w:val="single" w:color="auto" w:sz="12" w:space="0"/>
            </w:tcBorders>
            <w:vAlign w:val="center"/>
          </w:tcPr>
          <w:p w14:paraId="09C3C9C9">
            <w:pPr>
              <w:spacing w:line="360" w:lineRule="exact"/>
              <w:ind w:firstLine="0" w:firstLineChars="0"/>
              <w:jc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sz w:val="21"/>
                <w:szCs w:val="21"/>
              </w:rPr>
              <w:t>结果</w:t>
            </w:r>
          </w:p>
          <w:p w14:paraId="22E811CD">
            <w:pPr>
              <w:spacing w:line="360" w:lineRule="exact"/>
              <w:ind w:firstLine="0" w:firstLineChars="0"/>
              <w:jc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sz w:val="21"/>
                <w:szCs w:val="21"/>
              </w:rPr>
              <w:t>评价</w:t>
            </w:r>
          </w:p>
        </w:tc>
        <w:tc>
          <w:tcPr>
            <w:tcW w:w="1584" w:type="dxa"/>
            <w:vMerge w:val="restart"/>
            <w:tcBorders>
              <w:top w:val="single" w:color="auto" w:sz="12" w:space="0"/>
            </w:tcBorders>
            <w:vAlign w:val="center"/>
          </w:tcPr>
          <w:p w14:paraId="33B7606A">
            <w:pPr>
              <w:spacing w:line="360" w:lineRule="exact"/>
              <w:ind w:firstLine="0" w:firstLineChars="0"/>
              <w:jc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sz w:val="21"/>
                <w:szCs w:val="21"/>
              </w:rPr>
              <w:t>GB12348-2008</w:t>
            </w:r>
          </w:p>
          <w:p w14:paraId="3567FE66">
            <w:pPr>
              <w:spacing w:line="360" w:lineRule="exact"/>
              <w:ind w:firstLine="0" w:firstLineChars="0"/>
              <w:jc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sz w:val="21"/>
                <w:szCs w:val="21"/>
              </w:rPr>
              <w:t>3类标准</w:t>
            </w:r>
          </w:p>
        </w:tc>
      </w:tr>
      <w:tr w14:paraId="2AF53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168" w:type="dxa"/>
            <w:vMerge w:val="continue"/>
            <w:vAlign w:val="center"/>
          </w:tcPr>
          <w:p w14:paraId="2684857B">
            <w:pPr>
              <w:spacing w:line="360" w:lineRule="exact"/>
              <w:ind w:firstLine="0" w:firstLineChars="0"/>
              <w:rPr>
                <w:rFonts w:hint="default" w:ascii="Times New Roman" w:hAnsi="Times New Roman" w:eastAsia="仿宋" w:cs="Times New Roman"/>
                <w:color w:val="000000"/>
                <w:sz w:val="21"/>
                <w:szCs w:val="21"/>
              </w:rPr>
            </w:pPr>
          </w:p>
        </w:tc>
        <w:tc>
          <w:tcPr>
            <w:tcW w:w="1984" w:type="dxa"/>
            <w:gridSpan w:val="2"/>
            <w:vAlign w:val="center"/>
          </w:tcPr>
          <w:p w14:paraId="0842CDB7">
            <w:pPr>
              <w:pStyle w:val="57"/>
              <w:widowControl w:val="0"/>
              <w:pBdr>
                <w:left w:val="none" w:color="auto" w:sz="0" w:space="0"/>
              </w:pBdr>
              <w:spacing w:before="0" w:beforeAutospacing="0" w:after="0" w:afterAutospacing="0" w:line="360" w:lineRule="exact"/>
              <w:rPr>
                <w:rFonts w:hint="default" w:ascii="Times New Roman" w:hAnsi="Times New Roman" w:eastAsia="仿宋" w:cs="Times New Roman"/>
                <w:b/>
                <w:color w:val="000000"/>
                <w:kern w:val="2"/>
                <w:sz w:val="21"/>
                <w:szCs w:val="21"/>
                <w:lang w:val="en-US" w:eastAsia="zh-CN"/>
              </w:rPr>
            </w:pPr>
            <w:r>
              <w:rPr>
                <w:rFonts w:hint="default" w:ascii="Times New Roman" w:hAnsi="Times New Roman" w:eastAsia="仿宋" w:cs="Times New Roman"/>
                <w:b/>
                <w:color w:val="000000"/>
                <w:sz w:val="21"/>
                <w:szCs w:val="21"/>
              </w:rPr>
              <w:t>202</w:t>
            </w:r>
            <w:r>
              <w:rPr>
                <w:rFonts w:hint="default" w:ascii="Times New Roman" w:hAnsi="Times New Roman" w:eastAsia="仿宋" w:cs="Times New Roman"/>
                <w:b/>
                <w:color w:val="000000"/>
                <w:sz w:val="21"/>
                <w:szCs w:val="21"/>
                <w:lang w:val="en-US" w:eastAsia="zh-CN"/>
              </w:rPr>
              <w:t>5.10.17</w:t>
            </w:r>
          </w:p>
        </w:tc>
        <w:tc>
          <w:tcPr>
            <w:tcW w:w="1943" w:type="dxa"/>
            <w:gridSpan w:val="2"/>
            <w:vAlign w:val="center"/>
          </w:tcPr>
          <w:p w14:paraId="7F3335C8">
            <w:pPr>
              <w:pStyle w:val="57"/>
              <w:widowControl w:val="0"/>
              <w:pBdr>
                <w:left w:val="none" w:color="auto" w:sz="0" w:space="0"/>
              </w:pBdr>
              <w:spacing w:before="0" w:beforeAutospacing="0" w:after="0" w:afterAutospacing="0" w:line="360" w:lineRule="exact"/>
              <w:rPr>
                <w:rFonts w:hint="default" w:ascii="Times New Roman" w:hAnsi="Times New Roman" w:eastAsia="仿宋" w:cs="Times New Roman"/>
                <w:b/>
                <w:color w:val="000000"/>
                <w:kern w:val="2"/>
                <w:sz w:val="21"/>
                <w:szCs w:val="21"/>
                <w:lang w:val="en-US"/>
              </w:rPr>
            </w:pPr>
            <w:r>
              <w:rPr>
                <w:rFonts w:hint="default" w:ascii="Times New Roman" w:hAnsi="Times New Roman" w:eastAsia="仿宋" w:cs="Times New Roman"/>
                <w:b/>
                <w:color w:val="000000"/>
                <w:sz w:val="21"/>
                <w:szCs w:val="21"/>
              </w:rPr>
              <w:t>202</w:t>
            </w:r>
            <w:r>
              <w:rPr>
                <w:rFonts w:hint="default" w:ascii="Times New Roman" w:hAnsi="Times New Roman" w:eastAsia="仿宋" w:cs="Times New Roman"/>
                <w:b/>
                <w:color w:val="000000"/>
                <w:sz w:val="21"/>
                <w:szCs w:val="21"/>
                <w:lang w:val="en-US" w:eastAsia="zh-CN"/>
              </w:rPr>
              <w:t>5.10.18</w:t>
            </w:r>
          </w:p>
        </w:tc>
        <w:tc>
          <w:tcPr>
            <w:tcW w:w="709" w:type="dxa"/>
            <w:vMerge w:val="continue"/>
            <w:vAlign w:val="center"/>
          </w:tcPr>
          <w:p w14:paraId="03B880E3">
            <w:pPr>
              <w:spacing w:line="360" w:lineRule="exact"/>
              <w:ind w:firstLine="0" w:firstLineChars="0"/>
              <w:rPr>
                <w:rFonts w:hint="default" w:ascii="Times New Roman" w:hAnsi="Times New Roman" w:eastAsia="仿宋" w:cs="Times New Roman"/>
                <w:color w:val="000000"/>
                <w:sz w:val="21"/>
                <w:szCs w:val="21"/>
              </w:rPr>
            </w:pPr>
          </w:p>
        </w:tc>
        <w:tc>
          <w:tcPr>
            <w:tcW w:w="1584" w:type="dxa"/>
            <w:vMerge w:val="continue"/>
            <w:vAlign w:val="center"/>
          </w:tcPr>
          <w:p w14:paraId="5D3638E1">
            <w:pPr>
              <w:spacing w:line="360" w:lineRule="exact"/>
              <w:ind w:firstLine="0" w:firstLineChars="0"/>
              <w:rPr>
                <w:rFonts w:hint="default" w:ascii="Times New Roman" w:hAnsi="Times New Roman" w:eastAsia="仿宋" w:cs="Times New Roman"/>
                <w:color w:val="000000"/>
                <w:sz w:val="21"/>
                <w:szCs w:val="21"/>
              </w:rPr>
            </w:pPr>
          </w:p>
        </w:tc>
      </w:tr>
      <w:tr w14:paraId="1107B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168" w:type="dxa"/>
            <w:vMerge w:val="continue"/>
            <w:vAlign w:val="center"/>
          </w:tcPr>
          <w:p w14:paraId="2762CF1B">
            <w:pPr>
              <w:spacing w:line="360" w:lineRule="exact"/>
              <w:ind w:firstLine="0" w:firstLineChars="0"/>
              <w:rPr>
                <w:rFonts w:hint="default" w:ascii="Times New Roman" w:hAnsi="Times New Roman" w:eastAsia="仿宋" w:cs="Times New Roman"/>
                <w:color w:val="000000"/>
                <w:sz w:val="21"/>
                <w:szCs w:val="21"/>
              </w:rPr>
            </w:pPr>
          </w:p>
        </w:tc>
        <w:tc>
          <w:tcPr>
            <w:tcW w:w="992" w:type="dxa"/>
            <w:vAlign w:val="center"/>
          </w:tcPr>
          <w:p w14:paraId="7307DDDE">
            <w:pPr>
              <w:pStyle w:val="57"/>
              <w:widowControl w:val="0"/>
              <w:pBdr>
                <w:left w:val="none" w:color="auto" w:sz="0" w:space="0"/>
              </w:pBdr>
              <w:spacing w:before="0" w:beforeAutospacing="0" w:after="0" w:afterAutospacing="0" w:line="360" w:lineRule="exact"/>
              <w:rPr>
                <w:rFonts w:hint="default" w:ascii="Times New Roman" w:hAnsi="Times New Roman" w:eastAsia="仿宋" w:cs="Times New Roman"/>
                <w:b/>
                <w:color w:val="000000"/>
                <w:kern w:val="2"/>
                <w:sz w:val="21"/>
                <w:szCs w:val="21"/>
              </w:rPr>
            </w:pPr>
            <w:r>
              <w:rPr>
                <w:rFonts w:hint="default" w:ascii="Times New Roman" w:hAnsi="Times New Roman" w:eastAsia="仿宋" w:cs="Times New Roman"/>
                <w:b/>
                <w:color w:val="000000"/>
                <w:kern w:val="2"/>
                <w:sz w:val="21"/>
                <w:szCs w:val="21"/>
              </w:rPr>
              <w:t>昼间</w:t>
            </w:r>
          </w:p>
        </w:tc>
        <w:tc>
          <w:tcPr>
            <w:tcW w:w="992" w:type="dxa"/>
            <w:vAlign w:val="center"/>
          </w:tcPr>
          <w:p w14:paraId="7250072D">
            <w:pPr>
              <w:pStyle w:val="57"/>
              <w:widowControl w:val="0"/>
              <w:pBdr>
                <w:left w:val="none" w:color="auto" w:sz="0" w:space="0"/>
              </w:pBdr>
              <w:spacing w:before="0" w:beforeAutospacing="0" w:after="0" w:afterAutospacing="0" w:line="360" w:lineRule="exact"/>
              <w:rPr>
                <w:rFonts w:hint="default" w:ascii="Times New Roman" w:hAnsi="Times New Roman" w:eastAsia="仿宋" w:cs="Times New Roman"/>
                <w:b/>
                <w:color w:val="000000"/>
                <w:kern w:val="2"/>
                <w:sz w:val="21"/>
                <w:szCs w:val="21"/>
              </w:rPr>
            </w:pPr>
            <w:r>
              <w:rPr>
                <w:rFonts w:hint="default" w:ascii="Times New Roman" w:hAnsi="Times New Roman" w:eastAsia="仿宋" w:cs="Times New Roman"/>
                <w:b/>
                <w:color w:val="000000"/>
                <w:kern w:val="2"/>
                <w:sz w:val="21"/>
                <w:szCs w:val="21"/>
              </w:rPr>
              <w:t>夜间</w:t>
            </w:r>
          </w:p>
        </w:tc>
        <w:tc>
          <w:tcPr>
            <w:tcW w:w="992" w:type="dxa"/>
            <w:vAlign w:val="center"/>
          </w:tcPr>
          <w:p w14:paraId="23F00A9A">
            <w:pPr>
              <w:pStyle w:val="57"/>
              <w:widowControl w:val="0"/>
              <w:pBdr>
                <w:left w:val="none" w:color="auto" w:sz="0" w:space="0"/>
              </w:pBdr>
              <w:spacing w:before="0" w:beforeAutospacing="0" w:after="0" w:afterAutospacing="0" w:line="360" w:lineRule="exact"/>
              <w:rPr>
                <w:rFonts w:hint="default" w:ascii="Times New Roman" w:hAnsi="Times New Roman" w:eastAsia="仿宋" w:cs="Times New Roman"/>
                <w:b/>
                <w:color w:val="000000"/>
                <w:kern w:val="2"/>
                <w:sz w:val="21"/>
                <w:szCs w:val="21"/>
              </w:rPr>
            </w:pPr>
            <w:r>
              <w:rPr>
                <w:rFonts w:hint="default" w:ascii="Times New Roman" w:hAnsi="Times New Roman" w:eastAsia="仿宋" w:cs="Times New Roman"/>
                <w:b/>
                <w:color w:val="000000"/>
                <w:kern w:val="2"/>
                <w:sz w:val="21"/>
                <w:szCs w:val="21"/>
              </w:rPr>
              <w:t>昼间</w:t>
            </w:r>
          </w:p>
        </w:tc>
        <w:tc>
          <w:tcPr>
            <w:tcW w:w="951" w:type="dxa"/>
            <w:vAlign w:val="center"/>
          </w:tcPr>
          <w:p w14:paraId="310EF347">
            <w:pPr>
              <w:pStyle w:val="57"/>
              <w:widowControl w:val="0"/>
              <w:pBdr>
                <w:left w:val="none" w:color="auto" w:sz="0" w:space="0"/>
              </w:pBdr>
              <w:spacing w:before="0" w:beforeAutospacing="0" w:after="0" w:afterAutospacing="0" w:line="360" w:lineRule="exact"/>
              <w:rPr>
                <w:rFonts w:hint="default" w:ascii="Times New Roman" w:hAnsi="Times New Roman" w:eastAsia="仿宋" w:cs="Times New Roman"/>
                <w:b/>
                <w:color w:val="000000"/>
                <w:kern w:val="2"/>
                <w:sz w:val="21"/>
                <w:szCs w:val="21"/>
              </w:rPr>
            </w:pPr>
            <w:r>
              <w:rPr>
                <w:rFonts w:hint="default" w:ascii="Times New Roman" w:hAnsi="Times New Roman" w:eastAsia="仿宋" w:cs="Times New Roman"/>
                <w:b/>
                <w:color w:val="000000"/>
                <w:kern w:val="2"/>
                <w:sz w:val="21"/>
                <w:szCs w:val="21"/>
              </w:rPr>
              <w:t>夜间</w:t>
            </w:r>
          </w:p>
        </w:tc>
        <w:tc>
          <w:tcPr>
            <w:tcW w:w="709" w:type="dxa"/>
            <w:vMerge w:val="continue"/>
            <w:vAlign w:val="center"/>
          </w:tcPr>
          <w:p w14:paraId="09A2B4FC">
            <w:pPr>
              <w:spacing w:line="360" w:lineRule="exact"/>
              <w:ind w:firstLine="0" w:firstLineChars="0"/>
              <w:rPr>
                <w:rFonts w:hint="default" w:ascii="Times New Roman" w:hAnsi="Times New Roman" w:eastAsia="仿宋" w:cs="Times New Roman"/>
                <w:color w:val="000000"/>
                <w:sz w:val="21"/>
                <w:szCs w:val="21"/>
              </w:rPr>
            </w:pPr>
          </w:p>
        </w:tc>
        <w:tc>
          <w:tcPr>
            <w:tcW w:w="1584" w:type="dxa"/>
            <w:vMerge w:val="continue"/>
            <w:vAlign w:val="center"/>
          </w:tcPr>
          <w:p w14:paraId="433DD662">
            <w:pPr>
              <w:spacing w:line="360" w:lineRule="exact"/>
              <w:ind w:firstLine="0" w:firstLineChars="0"/>
              <w:rPr>
                <w:rFonts w:hint="default" w:ascii="Times New Roman" w:hAnsi="Times New Roman" w:eastAsia="仿宋" w:cs="Times New Roman"/>
                <w:color w:val="000000"/>
                <w:sz w:val="21"/>
                <w:szCs w:val="21"/>
              </w:rPr>
            </w:pPr>
          </w:p>
        </w:tc>
      </w:tr>
      <w:tr w14:paraId="5C95B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168" w:type="dxa"/>
            <w:vAlign w:val="center"/>
          </w:tcPr>
          <w:p w14:paraId="62AE5B66">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xml:space="preserve">厂界东侧外1m </w:t>
            </w:r>
            <w:r>
              <w:rPr>
                <w:rFonts w:hint="default" w:ascii="Times New Roman" w:hAnsi="Times New Roman" w:eastAsia="仿宋" w:cs="Times New Roman"/>
                <w:color w:val="000000"/>
                <w:sz w:val="21"/>
                <w:szCs w:val="21"/>
                <w:lang w:val="en-US" w:eastAsia="zh-CN"/>
              </w:rPr>
              <w:t>Z</w:t>
            </w:r>
            <w:r>
              <w:rPr>
                <w:rFonts w:hint="default" w:ascii="Times New Roman" w:hAnsi="Times New Roman" w:eastAsia="仿宋" w:cs="Times New Roman"/>
                <w:color w:val="000000"/>
                <w:sz w:val="21"/>
                <w:szCs w:val="21"/>
              </w:rPr>
              <w:t>1</w:t>
            </w:r>
          </w:p>
        </w:tc>
        <w:tc>
          <w:tcPr>
            <w:tcW w:w="992" w:type="dxa"/>
            <w:vAlign w:val="top"/>
          </w:tcPr>
          <w:p w14:paraId="4854C5FD">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cs="Times New Roman"/>
                <w:sz w:val="21"/>
              </w:rPr>
              <w:t>60</w:t>
            </w:r>
          </w:p>
        </w:tc>
        <w:tc>
          <w:tcPr>
            <w:tcW w:w="992" w:type="dxa"/>
            <w:vAlign w:val="top"/>
          </w:tcPr>
          <w:p w14:paraId="6F93E18D">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cs="Times New Roman"/>
                <w:sz w:val="21"/>
              </w:rPr>
              <w:t>49</w:t>
            </w:r>
          </w:p>
        </w:tc>
        <w:tc>
          <w:tcPr>
            <w:tcW w:w="992" w:type="dxa"/>
            <w:vAlign w:val="top"/>
          </w:tcPr>
          <w:p w14:paraId="500D27C1">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cs="Times New Roman"/>
                <w:sz w:val="21"/>
              </w:rPr>
              <w:t>56</w:t>
            </w:r>
          </w:p>
        </w:tc>
        <w:tc>
          <w:tcPr>
            <w:tcW w:w="951" w:type="dxa"/>
            <w:vAlign w:val="top"/>
          </w:tcPr>
          <w:p w14:paraId="064FEDA9">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cs="Times New Roman"/>
                <w:sz w:val="21"/>
              </w:rPr>
              <w:t>47</w:t>
            </w:r>
          </w:p>
        </w:tc>
        <w:tc>
          <w:tcPr>
            <w:tcW w:w="709" w:type="dxa"/>
            <w:vMerge w:val="restart"/>
            <w:vAlign w:val="center"/>
          </w:tcPr>
          <w:p w14:paraId="3AB12678">
            <w:pPr>
              <w:pStyle w:val="58"/>
              <w:adjustRightInd/>
              <w:snapToGrid/>
              <w:spacing w:line="360" w:lineRule="exact"/>
              <w:rPr>
                <w:rFonts w:hint="default" w:ascii="Times New Roman" w:hAnsi="Times New Roman" w:eastAsia="仿宋" w:cs="Times New Roman"/>
                <w:color w:val="000000"/>
                <w:spacing w:val="0"/>
                <w:kern w:val="2"/>
                <w:sz w:val="21"/>
                <w:szCs w:val="21"/>
              </w:rPr>
            </w:pPr>
            <w:r>
              <w:rPr>
                <w:rFonts w:hint="default" w:ascii="Times New Roman" w:hAnsi="Times New Roman" w:eastAsia="仿宋" w:cs="Times New Roman"/>
                <w:color w:val="000000"/>
                <w:spacing w:val="0"/>
                <w:kern w:val="2"/>
                <w:sz w:val="21"/>
                <w:szCs w:val="21"/>
              </w:rPr>
              <w:t>达标</w:t>
            </w:r>
          </w:p>
        </w:tc>
        <w:tc>
          <w:tcPr>
            <w:tcW w:w="1584" w:type="dxa"/>
            <w:vMerge w:val="restart"/>
            <w:vAlign w:val="center"/>
          </w:tcPr>
          <w:p w14:paraId="47091225">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昼间:65</w:t>
            </w:r>
          </w:p>
          <w:p w14:paraId="1F31DD6B">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夜间:55</w:t>
            </w:r>
          </w:p>
        </w:tc>
      </w:tr>
      <w:tr w14:paraId="24531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168" w:type="dxa"/>
            <w:vAlign w:val="center"/>
          </w:tcPr>
          <w:p w14:paraId="22D7D233">
            <w:pPr>
              <w:spacing w:line="360" w:lineRule="exact"/>
              <w:ind w:firstLine="0" w:firstLineChars="0"/>
              <w:jc w:val="center"/>
              <w:rPr>
                <w:rFonts w:hint="default" w:ascii="Times New Roman" w:hAnsi="Times New Roman" w:eastAsia="仿宋" w:cs="Times New Roman"/>
                <w:color w:val="000000"/>
                <w:sz w:val="21"/>
                <w:szCs w:val="21"/>
                <w:lang w:val="en-US"/>
              </w:rPr>
            </w:pPr>
            <w:r>
              <w:rPr>
                <w:rFonts w:hint="default" w:ascii="Times New Roman" w:hAnsi="Times New Roman" w:eastAsia="仿宋" w:cs="Times New Roman"/>
                <w:color w:val="000000"/>
                <w:sz w:val="21"/>
                <w:szCs w:val="21"/>
              </w:rPr>
              <w:t xml:space="preserve">厂界南侧外1m </w:t>
            </w:r>
            <w:r>
              <w:rPr>
                <w:rFonts w:hint="default" w:ascii="Times New Roman" w:hAnsi="Times New Roman" w:eastAsia="仿宋" w:cs="Times New Roman"/>
                <w:color w:val="000000"/>
                <w:sz w:val="21"/>
                <w:szCs w:val="21"/>
                <w:lang w:val="en-US" w:eastAsia="zh-CN"/>
              </w:rPr>
              <w:t>Z2</w:t>
            </w:r>
          </w:p>
        </w:tc>
        <w:tc>
          <w:tcPr>
            <w:tcW w:w="992" w:type="dxa"/>
            <w:vAlign w:val="top"/>
          </w:tcPr>
          <w:p w14:paraId="7AA753D4">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cs="Times New Roman"/>
                <w:sz w:val="21"/>
              </w:rPr>
              <w:t>58</w:t>
            </w:r>
          </w:p>
        </w:tc>
        <w:tc>
          <w:tcPr>
            <w:tcW w:w="992" w:type="dxa"/>
            <w:vAlign w:val="top"/>
          </w:tcPr>
          <w:p w14:paraId="3DB7C9E2">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cs="Times New Roman"/>
                <w:sz w:val="21"/>
              </w:rPr>
              <w:t>50</w:t>
            </w:r>
          </w:p>
        </w:tc>
        <w:tc>
          <w:tcPr>
            <w:tcW w:w="992" w:type="dxa"/>
            <w:vAlign w:val="top"/>
          </w:tcPr>
          <w:p w14:paraId="73740E6A">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cs="Times New Roman"/>
                <w:sz w:val="21"/>
              </w:rPr>
              <w:t>58</w:t>
            </w:r>
          </w:p>
        </w:tc>
        <w:tc>
          <w:tcPr>
            <w:tcW w:w="951" w:type="dxa"/>
            <w:vAlign w:val="top"/>
          </w:tcPr>
          <w:p w14:paraId="5D6F3695">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cs="Times New Roman"/>
                <w:sz w:val="21"/>
              </w:rPr>
              <w:t>42</w:t>
            </w:r>
          </w:p>
        </w:tc>
        <w:tc>
          <w:tcPr>
            <w:tcW w:w="709" w:type="dxa"/>
            <w:vMerge w:val="continue"/>
            <w:vAlign w:val="center"/>
          </w:tcPr>
          <w:p w14:paraId="0BF00A54">
            <w:pPr>
              <w:spacing w:line="360" w:lineRule="exact"/>
              <w:ind w:firstLine="0" w:firstLineChars="0"/>
              <w:rPr>
                <w:rFonts w:hint="default" w:ascii="Times New Roman" w:hAnsi="Times New Roman" w:eastAsia="仿宋" w:cs="Times New Roman"/>
                <w:color w:val="000000"/>
                <w:sz w:val="21"/>
                <w:szCs w:val="21"/>
              </w:rPr>
            </w:pPr>
          </w:p>
        </w:tc>
        <w:tc>
          <w:tcPr>
            <w:tcW w:w="1584" w:type="dxa"/>
            <w:vMerge w:val="continue"/>
            <w:vAlign w:val="center"/>
          </w:tcPr>
          <w:p w14:paraId="6304BB42">
            <w:pPr>
              <w:spacing w:line="360" w:lineRule="exact"/>
              <w:ind w:firstLine="0" w:firstLineChars="0"/>
              <w:rPr>
                <w:rFonts w:hint="default" w:ascii="Times New Roman" w:hAnsi="Times New Roman" w:eastAsia="仿宋" w:cs="Times New Roman"/>
                <w:color w:val="000000"/>
                <w:sz w:val="21"/>
                <w:szCs w:val="21"/>
              </w:rPr>
            </w:pPr>
          </w:p>
        </w:tc>
      </w:tr>
      <w:tr w14:paraId="3671B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168" w:type="dxa"/>
            <w:vAlign w:val="center"/>
          </w:tcPr>
          <w:p w14:paraId="66705B5C">
            <w:pPr>
              <w:spacing w:line="360" w:lineRule="exact"/>
              <w:ind w:firstLine="0" w:firstLineChars="0"/>
              <w:jc w:val="center"/>
              <w:rPr>
                <w:rFonts w:hint="default" w:ascii="Times New Roman" w:hAnsi="Times New Roman" w:eastAsia="仿宋" w:cs="Times New Roman"/>
                <w:color w:val="000000"/>
                <w:sz w:val="21"/>
                <w:szCs w:val="21"/>
                <w:lang w:val="en-US"/>
              </w:rPr>
            </w:pPr>
            <w:r>
              <w:rPr>
                <w:rFonts w:hint="default" w:ascii="Times New Roman" w:hAnsi="Times New Roman" w:eastAsia="仿宋" w:cs="Times New Roman"/>
                <w:color w:val="000000"/>
                <w:sz w:val="21"/>
                <w:szCs w:val="21"/>
              </w:rPr>
              <w:t>厂界</w:t>
            </w:r>
            <w:r>
              <w:rPr>
                <w:rFonts w:hint="eastAsia" w:ascii="Times New Roman" w:hAnsi="Times New Roman" w:eastAsia="仿宋" w:cs="Times New Roman"/>
                <w:color w:val="000000"/>
                <w:sz w:val="21"/>
                <w:szCs w:val="21"/>
                <w:lang w:val="en-US" w:eastAsia="zh-CN"/>
              </w:rPr>
              <w:t>西</w:t>
            </w:r>
            <w:r>
              <w:rPr>
                <w:rFonts w:hint="default" w:ascii="Times New Roman" w:hAnsi="Times New Roman" w:eastAsia="仿宋" w:cs="Times New Roman"/>
                <w:color w:val="000000"/>
                <w:sz w:val="21"/>
                <w:szCs w:val="21"/>
              </w:rPr>
              <w:t xml:space="preserve">侧外1m </w:t>
            </w:r>
            <w:r>
              <w:rPr>
                <w:rFonts w:hint="default" w:ascii="Times New Roman" w:hAnsi="Times New Roman" w:eastAsia="仿宋" w:cs="Times New Roman"/>
                <w:color w:val="000000"/>
                <w:sz w:val="21"/>
                <w:szCs w:val="21"/>
                <w:lang w:val="en-US" w:eastAsia="zh-CN"/>
              </w:rPr>
              <w:t>Z3</w:t>
            </w:r>
          </w:p>
        </w:tc>
        <w:tc>
          <w:tcPr>
            <w:tcW w:w="992" w:type="dxa"/>
            <w:vAlign w:val="top"/>
          </w:tcPr>
          <w:p w14:paraId="3E240E3E">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cs="Times New Roman"/>
                <w:sz w:val="21"/>
              </w:rPr>
              <w:t>58</w:t>
            </w:r>
          </w:p>
        </w:tc>
        <w:tc>
          <w:tcPr>
            <w:tcW w:w="992" w:type="dxa"/>
            <w:vAlign w:val="top"/>
          </w:tcPr>
          <w:p w14:paraId="7E6DD137">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cs="Times New Roman"/>
                <w:sz w:val="21"/>
              </w:rPr>
              <w:t>52</w:t>
            </w:r>
          </w:p>
        </w:tc>
        <w:tc>
          <w:tcPr>
            <w:tcW w:w="992" w:type="dxa"/>
            <w:vAlign w:val="top"/>
          </w:tcPr>
          <w:p w14:paraId="6CC33E66">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cs="Times New Roman"/>
                <w:sz w:val="21"/>
              </w:rPr>
              <w:t>63</w:t>
            </w:r>
          </w:p>
        </w:tc>
        <w:tc>
          <w:tcPr>
            <w:tcW w:w="951" w:type="dxa"/>
            <w:vAlign w:val="top"/>
          </w:tcPr>
          <w:p w14:paraId="23454125">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cs="Times New Roman"/>
                <w:sz w:val="21"/>
              </w:rPr>
              <w:t>49</w:t>
            </w:r>
          </w:p>
        </w:tc>
        <w:tc>
          <w:tcPr>
            <w:tcW w:w="709" w:type="dxa"/>
            <w:vMerge w:val="continue"/>
            <w:vAlign w:val="center"/>
          </w:tcPr>
          <w:p w14:paraId="6D0DFFEF">
            <w:pPr>
              <w:spacing w:line="360" w:lineRule="exact"/>
              <w:ind w:firstLine="0" w:firstLineChars="0"/>
              <w:rPr>
                <w:rFonts w:hint="default" w:ascii="Times New Roman" w:hAnsi="Times New Roman" w:eastAsia="仿宋" w:cs="Times New Roman"/>
                <w:color w:val="000000"/>
                <w:sz w:val="21"/>
                <w:szCs w:val="21"/>
              </w:rPr>
            </w:pPr>
          </w:p>
        </w:tc>
        <w:tc>
          <w:tcPr>
            <w:tcW w:w="1584" w:type="dxa"/>
            <w:vMerge w:val="continue"/>
            <w:vAlign w:val="center"/>
          </w:tcPr>
          <w:p w14:paraId="6FC5FE5B">
            <w:pPr>
              <w:spacing w:line="360" w:lineRule="exact"/>
              <w:ind w:firstLine="0" w:firstLineChars="0"/>
              <w:rPr>
                <w:rFonts w:hint="default" w:ascii="Times New Roman" w:hAnsi="Times New Roman" w:eastAsia="仿宋" w:cs="Times New Roman"/>
                <w:color w:val="000000"/>
                <w:sz w:val="21"/>
                <w:szCs w:val="21"/>
              </w:rPr>
            </w:pPr>
          </w:p>
        </w:tc>
      </w:tr>
      <w:tr w14:paraId="6525A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168" w:type="dxa"/>
            <w:vAlign w:val="center"/>
          </w:tcPr>
          <w:p w14:paraId="7D54B327">
            <w:pPr>
              <w:spacing w:line="360" w:lineRule="exact"/>
              <w:ind w:firstLine="0" w:firstLineChars="0"/>
              <w:jc w:val="center"/>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color w:val="000000"/>
                <w:sz w:val="21"/>
                <w:szCs w:val="21"/>
              </w:rPr>
              <w:t>厂界</w:t>
            </w:r>
            <w:r>
              <w:rPr>
                <w:rFonts w:hint="eastAsia" w:ascii="Times New Roman" w:hAnsi="Times New Roman" w:eastAsia="仿宋" w:cs="Times New Roman"/>
                <w:color w:val="000000"/>
                <w:sz w:val="21"/>
                <w:szCs w:val="21"/>
                <w:lang w:val="en-US" w:eastAsia="zh-CN"/>
              </w:rPr>
              <w:t>北</w:t>
            </w:r>
            <w:r>
              <w:rPr>
                <w:rFonts w:hint="default" w:ascii="Times New Roman" w:hAnsi="Times New Roman" w:eastAsia="仿宋" w:cs="Times New Roman"/>
                <w:color w:val="000000"/>
                <w:sz w:val="21"/>
                <w:szCs w:val="21"/>
              </w:rPr>
              <w:t xml:space="preserve">侧外1m </w:t>
            </w:r>
            <w:r>
              <w:rPr>
                <w:rFonts w:hint="default" w:ascii="Times New Roman" w:hAnsi="Times New Roman" w:eastAsia="仿宋" w:cs="Times New Roman"/>
                <w:color w:val="000000"/>
                <w:sz w:val="21"/>
                <w:szCs w:val="21"/>
                <w:lang w:val="en-US" w:eastAsia="zh-CN"/>
              </w:rPr>
              <w:t>Z4</w:t>
            </w:r>
          </w:p>
        </w:tc>
        <w:tc>
          <w:tcPr>
            <w:tcW w:w="992" w:type="dxa"/>
            <w:vAlign w:val="top"/>
          </w:tcPr>
          <w:p w14:paraId="448B04AF">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cs="Times New Roman"/>
                <w:sz w:val="21"/>
              </w:rPr>
              <w:t>55</w:t>
            </w:r>
          </w:p>
        </w:tc>
        <w:tc>
          <w:tcPr>
            <w:tcW w:w="992" w:type="dxa"/>
            <w:vAlign w:val="top"/>
          </w:tcPr>
          <w:p w14:paraId="3C499E44">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cs="Times New Roman"/>
                <w:sz w:val="21"/>
              </w:rPr>
              <w:t>51</w:t>
            </w:r>
          </w:p>
        </w:tc>
        <w:tc>
          <w:tcPr>
            <w:tcW w:w="992" w:type="dxa"/>
            <w:vAlign w:val="top"/>
          </w:tcPr>
          <w:p w14:paraId="014694F2">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cs="Times New Roman"/>
                <w:sz w:val="21"/>
              </w:rPr>
              <w:t>59</w:t>
            </w:r>
          </w:p>
        </w:tc>
        <w:tc>
          <w:tcPr>
            <w:tcW w:w="951" w:type="dxa"/>
            <w:vAlign w:val="top"/>
          </w:tcPr>
          <w:p w14:paraId="1772C5B4">
            <w:pPr>
              <w:pStyle w:val="45"/>
              <w:keepNext w:val="0"/>
              <w:keepLines w:val="0"/>
              <w:pageBreakBefore w:val="0"/>
              <w:widowControl w:val="0"/>
              <w:kinsoku/>
              <w:wordWrap/>
              <w:overflowPunct/>
              <w:topLinePunct w:val="0"/>
              <w:bidi w:val="0"/>
              <w:adjustRightInd w:val="0"/>
              <w:snapToGrid/>
              <w:spacing w:before="0"/>
              <w:ind w:left="0" w:leftChars="0" w:right="0" w:rightChars="0"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cs="Times New Roman"/>
                <w:sz w:val="21"/>
              </w:rPr>
              <w:t>53</w:t>
            </w:r>
          </w:p>
        </w:tc>
        <w:tc>
          <w:tcPr>
            <w:tcW w:w="709" w:type="dxa"/>
            <w:vMerge w:val="continue"/>
            <w:vAlign w:val="center"/>
          </w:tcPr>
          <w:p w14:paraId="1008A2EF">
            <w:pPr>
              <w:spacing w:line="360" w:lineRule="exact"/>
              <w:ind w:firstLine="0" w:firstLineChars="0"/>
              <w:rPr>
                <w:rFonts w:hint="default" w:ascii="Times New Roman" w:hAnsi="Times New Roman" w:eastAsia="仿宋" w:cs="Times New Roman"/>
                <w:color w:val="000000"/>
                <w:sz w:val="21"/>
                <w:szCs w:val="21"/>
              </w:rPr>
            </w:pPr>
          </w:p>
        </w:tc>
        <w:tc>
          <w:tcPr>
            <w:tcW w:w="1584" w:type="dxa"/>
            <w:vMerge w:val="continue"/>
            <w:vAlign w:val="center"/>
          </w:tcPr>
          <w:p w14:paraId="37105012">
            <w:pPr>
              <w:spacing w:line="360" w:lineRule="exact"/>
              <w:ind w:firstLine="0" w:firstLineChars="0"/>
              <w:rPr>
                <w:rFonts w:hint="default" w:ascii="Times New Roman" w:hAnsi="Times New Roman" w:eastAsia="仿宋" w:cs="Times New Roman"/>
                <w:color w:val="000000"/>
                <w:sz w:val="21"/>
                <w:szCs w:val="21"/>
              </w:rPr>
            </w:pPr>
          </w:p>
        </w:tc>
      </w:tr>
    </w:tbl>
    <w:p w14:paraId="23AB39F1">
      <w:pPr>
        <w:spacing w:line="480" w:lineRule="exact"/>
        <w:ind w:firstLine="560"/>
        <w:rPr>
          <w:rFonts w:hint="default" w:ascii="Times New Roman" w:hAnsi="Times New Roman" w:eastAsia="仿宋" w:cs="Times New Roman"/>
          <w:color w:val="000000"/>
          <w:shd w:val="clear" w:color="auto" w:fill="FFFFFF"/>
        </w:rPr>
      </w:pPr>
      <w:r>
        <w:rPr>
          <w:rFonts w:hint="default" w:ascii="Times New Roman" w:hAnsi="Times New Roman" w:eastAsia="仿宋" w:cs="Times New Roman"/>
          <w:color w:val="000000"/>
          <w:shd w:val="clear" w:color="auto" w:fill="FFFFFF"/>
        </w:rPr>
        <w:t>监测结果表明，验收监测期间，各厂界噪声昼、夜间等效连续A声级值均符合《工业企业厂界环境噪声排放标准》（GB12348-2008）3类标准。</w:t>
      </w:r>
    </w:p>
    <w:p w14:paraId="58EC62C9">
      <w:pPr>
        <w:pStyle w:val="3"/>
        <w:spacing w:before="120" w:after="0"/>
        <w:ind w:firstLine="0" w:firstLineChars="0"/>
        <w:rPr>
          <w:rFonts w:hint="default" w:ascii="Times New Roman" w:hAnsi="Times New Roman" w:cs="Times New Roman"/>
          <w:color w:val="000000"/>
        </w:rPr>
      </w:pPr>
      <w:bookmarkStart w:id="129" w:name="_Toc520410278"/>
      <w:bookmarkStart w:id="130" w:name="_Toc18038"/>
      <w:bookmarkStart w:id="131" w:name="_Toc5204552"/>
      <w:r>
        <w:rPr>
          <w:rFonts w:hint="default" w:ascii="Times New Roman" w:hAnsi="Times New Roman" w:cs="Times New Roman"/>
          <w:color w:val="000000"/>
        </w:rPr>
        <w:t>9.3 污染物排放总量核算</w:t>
      </w:r>
      <w:bookmarkEnd w:id="129"/>
      <w:bookmarkEnd w:id="130"/>
      <w:bookmarkEnd w:id="131"/>
    </w:p>
    <w:p w14:paraId="423E03FF">
      <w:pPr>
        <w:keepNext w:val="0"/>
        <w:keepLines w:val="0"/>
        <w:pageBreakBefore w:val="0"/>
        <w:widowControl/>
        <w:kinsoku/>
        <w:wordWrap/>
        <w:overflowPunct/>
        <w:topLinePunct w:val="0"/>
        <w:autoSpaceDE/>
        <w:autoSpaceDN/>
        <w:bidi w:val="0"/>
        <w:adjustRightInd/>
        <w:snapToGrid/>
        <w:spacing w:line="480" w:lineRule="exact"/>
        <w:ind w:firstLine="56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验收监测结果表明，</w:t>
      </w:r>
      <w:bookmarkStart w:id="132" w:name="_Hlk520383746"/>
      <w:r>
        <w:rPr>
          <w:rFonts w:hint="default" w:ascii="Times New Roman" w:hAnsi="Times New Roman" w:eastAsia="仿宋" w:cs="Times New Roman"/>
          <w:color w:val="000000" w:themeColor="text1"/>
          <w:sz w:val="28"/>
          <w:szCs w:val="28"/>
          <w14:textFill>
            <w14:solidFill>
              <w14:schemeClr w14:val="tx1"/>
            </w14:solidFill>
          </w14:textFill>
        </w:rPr>
        <w:t>本项目建成后废水中各指标年排放总量符合环评批复要求，本项目废气中各指标年排放总量符合环评</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文件</w:t>
      </w:r>
      <w:r>
        <w:rPr>
          <w:rFonts w:hint="default" w:ascii="Times New Roman" w:hAnsi="Times New Roman" w:eastAsia="仿宋" w:cs="Times New Roman"/>
          <w:color w:val="000000" w:themeColor="text1"/>
          <w:sz w:val="28"/>
          <w:szCs w:val="28"/>
          <w14:textFill>
            <w14:solidFill>
              <w14:schemeClr w14:val="tx1"/>
            </w14:solidFill>
          </w14:textFill>
        </w:rPr>
        <w:t>要求。</w:t>
      </w:r>
    </w:p>
    <w:bookmarkEnd w:id="132"/>
    <w:p w14:paraId="2BC42459">
      <w:pPr>
        <w:keepNext w:val="0"/>
        <w:keepLines w:val="0"/>
        <w:pageBreakBefore w:val="0"/>
        <w:widowControl/>
        <w:kinsoku/>
        <w:wordWrap/>
        <w:overflowPunct/>
        <w:topLinePunct w:val="0"/>
        <w:autoSpaceDE/>
        <w:autoSpaceDN/>
        <w:bidi w:val="0"/>
        <w:adjustRightInd/>
        <w:snapToGrid/>
        <w:spacing w:line="480" w:lineRule="exact"/>
        <w:ind w:firstLine="56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项目废气、废水污染物排放总量核算结果见表9.3-1。</w:t>
      </w:r>
    </w:p>
    <w:p w14:paraId="1B6F275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 w:cs="Times New Roman"/>
          <w:color w:val="000000" w:themeColor="text1"/>
          <w:sz w:val="24"/>
          <w:szCs w:val="24"/>
          <w:lang w:val="en-US" w:eastAsia="zh-CN"/>
          <w14:textFill>
            <w14:solidFill>
              <w14:schemeClr w14:val="tx1"/>
            </w14:solidFill>
          </w14:textFill>
        </w:rPr>
      </w:pPr>
      <w:bookmarkStart w:id="133" w:name="_Hlk156415994"/>
      <w:r>
        <w:rPr>
          <w:rFonts w:hint="default" w:ascii="Times New Roman" w:hAnsi="Times New Roman" w:eastAsia="仿宋" w:cs="Times New Roman"/>
          <w:b/>
          <w:color w:val="000000" w:themeColor="text1"/>
          <w:sz w:val="28"/>
          <w:szCs w:val="28"/>
          <w14:textFill>
            <w14:solidFill>
              <w14:schemeClr w14:val="tx1"/>
            </w14:solidFill>
          </w14:textFill>
        </w:rPr>
        <w:t>涉密删除。</w:t>
      </w:r>
      <w:bookmarkEnd w:id="133"/>
    </w:p>
    <w:p w14:paraId="0AEFCFED">
      <w:pPr>
        <w:spacing w:afterLines="50"/>
        <w:ind w:firstLine="0" w:firstLineChars="0"/>
        <w:jc w:val="center"/>
        <w:rPr>
          <w:rFonts w:hint="default" w:ascii="Times New Roman" w:hAnsi="Times New Roman" w:cs="Times New Roman"/>
          <w:b/>
          <w:bCs/>
          <w:color w:val="000000"/>
        </w:rPr>
      </w:pPr>
    </w:p>
    <w:p w14:paraId="29D172F9">
      <w:pPr>
        <w:pStyle w:val="10"/>
        <w:numPr>
          <w:ilvl w:val="0"/>
          <w:numId w:val="1"/>
        </w:numPr>
        <w:ind w:left="0" w:leftChars="0" w:firstLine="0" w:firstLineChars="0"/>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color w:val="000000"/>
          <w:kern w:val="2"/>
          <w:sz w:val="24"/>
          <w:szCs w:val="24"/>
          <w:lang w:val="en-US" w:eastAsia="zh-CN"/>
        </w:rPr>
        <w:t>本次验收项目</w:t>
      </w:r>
      <w:r>
        <w:rPr>
          <w:rFonts w:hint="default" w:ascii="Times New Roman" w:hAnsi="Times New Roman" w:eastAsia="仿宋" w:cs="Times New Roman"/>
          <w:color w:val="000000"/>
          <w:kern w:val="2"/>
          <w:sz w:val="24"/>
          <w:szCs w:val="24"/>
        </w:rPr>
        <w:t>产生的废水依托</w:t>
      </w:r>
      <w:r>
        <w:rPr>
          <w:rFonts w:hint="default" w:ascii="Times New Roman" w:hAnsi="Times New Roman" w:eastAsia="仿宋" w:cs="Times New Roman"/>
          <w:color w:val="000000"/>
          <w:kern w:val="2"/>
          <w:sz w:val="24"/>
          <w:szCs w:val="24"/>
          <w:lang w:val="en-US" w:eastAsia="zh-CN"/>
        </w:rPr>
        <w:t>厂区现有</w:t>
      </w:r>
      <w:r>
        <w:rPr>
          <w:rFonts w:hint="default" w:ascii="Times New Roman" w:hAnsi="Times New Roman" w:eastAsia="仿宋" w:cs="Times New Roman"/>
          <w:color w:val="000000"/>
          <w:kern w:val="2"/>
          <w:sz w:val="24"/>
          <w:szCs w:val="24"/>
        </w:rPr>
        <w:t>污水处理站处置，尾水</w:t>
      </w:r>
      <w:r>
        <w:rPr>
          <w:rFonts w:hint="default" w:ascii="Times New Roman" w:hAnsi="Times New Roman" w:eastAsia="仿宋" w:cs="Times New Roman"/>
          <w:color w:val="000000"/>
          <w:kern w:val="2"/>
          <w:sz w:val="24"/>
          <w:szCs w:val="24"/>
          <w:lang w:val="en-US" w:eastAsia="zh-CN"/>
        </w:rPr>
        <w:t>与现有一期项目</w:t>
      </w:r>
      <w:r>
        <w:rPr>
          <w:rFonts w:hint="default" w:ascii="Times New Roman" w:hAnsi="Times New Roman" w:eastAsia="仿宋" w:cs="Times New Roman"/>
          <w:color w:val="000000"/>
          <w:kern w:val="2"/>
          <w:sz w:val="24"/>
          <w:szCs w:val="24"/>
        </w:rPr>
        <w:t>合并排放。因此，废水总量考核指标以</w:t>
      </w:r>
      <w:r>
        <w:rPr>
          <w:rFonts w:hint="default" w:ascii="Times New Roman" w:hAnsi="Times New Roman" w:eastAsia="仿宋" w:cs="Times New Roman"/>
          <w:color w:val="000000"/>
          <w:kern w:val="2"/>
          <w:sz w:val="24"/>
          <w:szCs w:val="24"/>
          <w:lang w:val="en-US" w:eastAsia="zh-CN"/>
        </w:rPr>
        <w:t>全厂</w:t>
      </w:r>
      <w:r>
        <w:rPr>
          <w:rFonts w:hint="default" w:ascii="Times New Roman" w:hAnsi="Times New Roman" w:eastAsia="仿宋" w:cs="Times New Roman"/>
          <w:color w:val="000000"/>
          <w:kern w:val="2"/>
          <w:sz w:val="24"/>
          <w:szCs w:val="24"/>
        </w:rPr>
        <w:t>排放总量进行考核</w:t>
      </w:r>
      <w:r>
        <w:rPr>
          <w:rFonts w:hint="default" w:ascii="Times New Roman" w:hAnsi="Times New Roman" w:eastAsia="仿宋" w:cs="Times New Roman"/>
          <w:color w:val="000000" w:themeColor="text1"/>
          <w:sz w:val="24"/>
          <w:szCs w:val="24"/>
          <w:lang w:val="en-US" w:eastAsia="zh-CN"/>
          <w14:textFill>
            <w14:solidFill>
              <w14:schemeClr w14:val="tx1"/>
            </w14:solidFill>
          </w14:textFill>
        </w:rPr>
        <w:t>。</w:t>
      </w:r>
    </w:p>
    <w:p w14:paraId="60218849">
      <w:pPr>
        <w:pStyle w:val="10"/>
        <w:numPr>
          <w:ilvl w:val="0"/>
          <w:numId w:val="0"/>
        </w:numPr>
        <w:ind w:leftChars="0"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color w:val="000000"/>
          <w:sz w:val="28"/>
          <w:szCs w:val="28"/>
          <w:shd w:val="clear" w:color="auto" w:fill="FFFFFF"/>
        </w:rPr>
        <w:t>验收监测结果表明，本项目废气、废水污染物排放总量符合总量控制指标的要求</w:t>
      </w:r>
      <w:r>
        <w:rPr>
          <w:rFonts w:hint="default" w:ascii="Times New Roman" w:hAnsi="Times New Roman" w:eastAsia="仿宋" w:cs="Times New Roman"/>
          <w:sz w:val="28"/>
          <w:szCs w:val="28"/>
        </w:rPr>
        <w:t>。</w:t>
      </w:r>
    </w:p>
    <w:p w14:paraId="43FDB5BC">
      <w:pPr>
        <w:pStyle w:val="10"/>
        <w:ind w:firstLine="560"/>
        <w:rPr>
          <w:rFonts w:hint="default" w:ascii="Times New Roman" w:hAnsi="Times New Roman" w:eastAsia="仿宋" w:cs="Times New Roman"/>
          <w:sz w:val="28"/>
          <w:szCs w:val="28"/>
        </w:rPr>
      </w:pPr>
    </w:p>
    <w:p w14:paraId="0D271489">
      <w:pPr>
        <w:pStyle w:val="10"/>
        <w:ind w:firstLine="480"/>
        <w:rPr>
          <w:rFonts w:hint="default" w:ascii="Times New Roman" w:hAnsi="Times New Roman" w:cs="Times New Roman"/>
        </w:rPr>
      </w:pPr>
    </w:p>
    <w:p w14:paraId="770909F7">
      <w:pPr>
        <w:pStyle w:val="10"/>
        <w:ind w:firstLine="480"/>
        <w:rPr>
          <w:rFonts w:hint="default" w:ascii="Times New Roman" w:hAnsi="Times New Roman" w:cs="Times New Roman"/>
        </w:rPr>
      </w:pPr>
    </w:p>
    <w:p w14:paraId="2D893351">
      <w:pPr>
        <w:pStyle w:val="10"/>
        <w:ind w:firstLine="480"/>
        <w:rPr>
          <w:rFonts w:hint="default" w:ascii="Times New Roman" w:hAnsi="Times New Roman" w:cs="Times New Roman"/>
        </w:rPr>
        <w:sectPr>
          <w:pgSz w:w="11906" w:h="16838"/>
          <w:pgMar w:top="1440" w:right="1800" w:bottom="1440" w:left="1800" w:header="851" w:footer="992" w:gutter="0"/>
          <w:cols w:space="425" w:num="1"/>
          <w:docGrid w:type="lines" w:linePitch="381" w:charSpace="0"/>
        </w:sectPr>
      </w:pPr>
    </w:p>
    <w:p w14:paraId="0F7D5D2F">
      <w:pPr>
        <w:pStyle w:val="2"/>
        <w:spacing w:beforeLines="50" w:afterLines="50"/>
        <w:rPr>
          <w:rFonts w:hint="default" w:ascii="Times New Roman" w:hAnsi="Times New Roman" w:cs="Times New Roman"/>
          <w:color w:val="000000"/>
        </w:rPr>
      </w:pPr>
      <w:bookmarkStart w:id="134" w:name="_Toc5204553"/>
      <w:bookmarkStart w:id="135" w:name="_Toc520410279"/>
      <w:bookmarkStart w:id="136" w:name="_Toc25008"/>
      <w:r>
        <w:rPr>
          <w:rFonts w:hint="default" w:ascii="Times New Roman" w:hAnsi="Times New Roman" w:cs="Times New Roman"/>
          <w:color w:val="000000"/>
        </w:rPr>
        <w:t>10  环评批复落实情况</w:t>
      </w:r>
      <w:bookmarkEnd w:id="134"/>
      <w:bookmarkEnd w:id="135"/>
      <w:bookmarkEnd w:id="136"/>
    </w:p>
    <w:p w14:paraId="204EB2EC">
      <w:pPr>
        <w:spacing w:line="480" w:lineRule="exact"/>
        <w:ind w:firstLine="560"/>
        <w:rPr>
          <w:rFonts w:hint="default" w:ascii="Times New Roman" w:hAnsi="Times New Roman" w:eastAsia="仿宋" w:cs="Times New Roman"/>
          <w:color w:val="000000"/>
        </w:rPr>
      </w:pPr>
      <w:r>
        <w:rPr>
          <w:rFonts w:hint="default" w:ascii="Times New Roman" w:hAnsi="Times New Roman" w:eastAsia="仿宋" w:cs="Times New Roman"/>
          <w:color w:val="000000"/>
        </w:rPr>
        <w:t>项目环评批复落实情况的检查内容详见表10-1。</w:t>
      </w:r>
    </w:p>
    <w:p w14:paraId="6AC9C487">
      <w:pPr>
        <w:spacing w:line="480" w:lineRule="exact"/>
        <w:ind w:firstLine="562"/>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rPr>
        <w:t>表10-1  环评批复落实情况</w:t>
      </w:r>
    </w:p>
    <w:tbl>
      <w:tblPr>
        <w:tblStyle w:val="25"/>
        <w:tblW w:w="141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44"/>
        <w:gridCol w:w="6719"/>
      </w:tblGrid>
      <w:tr w14:paraId="31017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tcBorders>
              <w:top w:val="single" w:color="auto" w:sz="12" w:space="0"/>
            </w:tcBorders>
            <w:vAlign w:val="center"/>
          </w:tcPr>
          <w:p w14:paraId="3BF8559F">
            <w:pPr>
              <w:spacing w:line="360" w:lineRule="exact"/>
              <w:ind w:firstLine="0" w:firstLineChars="0"/>
              <w:jc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sz w:val="21"/>
                <w:szCs w:val="21"/>
              </w:rPr>
              <w:t>序号</w:t>
            </w:r>
          </w:p>
        </w:tc>
        <w:tc>
          <w:tcPr>
            <w:tcW w:w="6644" w:type="dxa"/>
            <w:tcBorders>
              <w:top w:val="single" w:color="auto" w:sz="12" w:space="0"/>
            </w:tcBorders>
            <w:vAlign w:val="center"/>
          </w:tcPr>
          <w:p w14:paraId="77363F8D">
            <w:pPr>
              <w:spacing w:line="360" w:lineRule="exact"/>
              <w:ind w:firstLine="0" w:firstLineChars="0"/>
              <w:jc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sz w:val="21"/>
                <w:szCs w:val="21"/>
              </w:rPr>
              <w:t>检查内容</w:t>
            </w:r>
          </w:p>
        </w:tc>
        <w:tc>
          <w:tcPr>
            <w:tcW w:w="6719" w:type="dxa"/>
            <w:tcBorders>
              <w:top w:val="single" w:color="auto" w:sz="12" w:space="0"/>
            </w:tcBorders>
            <w:vAlign w:val="center"/>
          </w:tcPr>
          <w:p w14:paraId="3CA05B75">
            <w:pPr>
              <w:spacing w:line="360" w:lineRule="exact"/>
              <w:ind w:firstLine="0" w:firstLineChars="0"/>
              <w:jc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color w:val="000000"/>
                <w:sz w:val="21"/>
                <w:szCs w:val="21"/>
              </w:rPr>
              <w:t>执行情况</w:t>
            </w:r>
          </w:p>
        </w:tc>
      </w:tr>
      <w:tr w14:paraId="6E6DE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Align w:val="center"/>
          </w:tcPr>
          <w:p w14:paraId="76DB802C">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w:t>
            </w:r>
          </w:p>
        </w:tc>
        <w:tc>
          <w:tcPr>
            <w:tcW w:w="6644" w:type="dxa"/>
            <w:vAlign w:val="center"/>
          </w:tcPr>
          <w:p w14:paraId="4C4EA0FB">
            <w:pPr>
              <w:pStyle w:val="52"/>
              <w:spacing w:line="360" w:lineRule="exact"/>
              <w:ind w:firstLine="0" w:firstLineChars="0"/>
              <w:rPr>
                <w:rFonts w:hint="default" w:ascii="Times New Roman" w:hAnsi="Times New Roman" w:eastAsia="仿宋" w:cs="Times New Roman"/>
                <w:kern w:val="2"/>
                <w:sz w:val="21"/>
                <w:szCs w:val="21"/>
              </w:rPr>
            </w:pPr>
            <w:r>
              <w:rPr>
                <w:rFonts w:hint="default" w:ascii="Times New Roman" w:hAnsi="Times New Roman" w:eastAsia="仿宋" w:cs="Times New Roman"/>
                <w:kern w:val="2"/>
                <w:sz w:val="21"/>
                <w:szCs w:val="21"/>
              </w:rPr>
              <w:t>严格落实水环境保护措施。实行“雨污分流、清污分流”。该项目施工阶段产生的废水包括生产废水和生活污水，施工废水须经预处理后清运至污水处理厂集中处理。该项目运营期工艺废水、循环冷却水系统排水、生活污水、地面清洗用水、喷淋塔用水、真空清洗炉用水、初期雨水经厂区污水处理站处理后达《污水综合排放标准》(GB8978-1996)中三级标准，氨氮和总磷达《污水排入城市下水道水质标准》(GB/T31962-2015)标准，同时满足苏环洋口港(南通)水务有限公司接管要求后，纳入市政污水管网送洋口港经济开发区污水处理厂集中处理。</w:t>
            </w:r>
          </w:p>
        </w:tc>
        <w:tc>
          <w:tcPr>
            <w:tcW w:w="6719" w:type="dxa"/>
            <w:vAlign w:val="center"/>
          </w:tcPr>
          <w:p w14:paraId="660FE1AF">
            <w:pPr>
              <w:spacing w:line="360" w:lineRule="exact"/>
              <w:ind w:firstLine="0" w:firstLineChars="0"/>
              <w:rPr>
                <w:rFonts w:hint="default" w:ascii="Times New Roman" w:hAnsi="Times New Roman" w:eastAsia="仿宋" w:cs="Times New Roman"/>
                <w:kern w:val="2"/>
                <w:sz w:val="21"/>
                <w:szCs w:val="21"/>
              </w:rPr>
            </w:pPr>
            <w:r>
              <w:rPr>
                <w:rFonts w:hint="default" w:ascii="Times New Roman" w:hAnsi="Times New Roman" w:eastAsia="仿宋" w:cs="Times New Roman"/>
                <w:kern w:val="2"/>
                <w:sz w:val="21"/>
                <w:szCs w:val="21"/>
              </w:rPr>
              <w:t>本项目雨污分流，清污分流，工艺废水、循环冷却水系统排水、生活污水、地面清洗用水、喷淋塔用水、真空清洗炉用水、初期雨水</w:t>
            </w:r>
            <w:r>
              <w:rPr>
                <w:rFonts w:hint="default" w:ascii="Times New Roman" w:hAnsi="Times New Roman" w:eastAsia="仿宋" w:cs="Times New Roman"/>
                <w:kern w:val="2"/>
                <w:sz w:val="21"/>
                <w:szCs w:val="21"/>
                <w:lang w:val="en-US" w:eastAsia="zh-CN"/>
              </w:rPr>
              <w:t>经</w:t>
            </w:r>
            <w:r>
              <w:rPr>
                <w:rFonts w:hint="default" w:ascii="Times New Roman" w:hAnsi="Times New Roman" w:eastAsia="仿宋" w:cs="Times New Roman"/>
                <w:kern w:val="2"/>
                <w:sz w:val="21"/>
                <w:szCs w:val="21"/>
              </w:rPr>
              <w:t>“树脂吸附+水解酸化+好氧+沉淀+气浮”工艺处理达接管标准后排入苏环洋口港（南通）水务有限公司集中深度处理，尾水达标排入黄海</w:t>
            </w:r>
            <w:r>
              <w:rPr>
                <w:rFonts w:hint="default" w:ascii="Times New Roman" w:hAnsi="Times New Roman" w:eastAsia="仿宋" w:cs="Times New Roman"/>
                <w:kern w:val="2"/>
                <w:sz w:val="21"/>
                <w:szCs w:val="21"/>
                <w:lang w:eastAsia="zh-CN"/>
              </w:rPr>
              <w:t>。</w:t>
            </w:r>
            <w:r>
              <w:rPr>
                <w:rFonts w:hint="default" w:ascii="Times New Roman" w:hAnsi="Times New Roman" w:eastAsia="仿宋" w:cs="Times New Roman"/>
                <w:kern w:val="2"/>
                <w:sz w:val="21"/>
                <w:szCs w:val="21"/>
              </w:rPr>
              <w:t>验收监测数据表明，验收监测期间公司废水总排口pH、COD、SS、总氮、石油类、动植物油、BOD</w:t>
            </w:r>
            <w:r>
              <w:rPr>
                <w:rFonts w:hint="default" w:ascii="Times New Roman" w:hAnsi="Times New Roman" w:eastAsia="仿宋" w:cs="Times New Roman"/>
                <w:kern w:val="2"/>
                <w:sz w:val="21"/>
                <w:szCs w:val="21"/>
                <w:vertAlign w:val="subscript"/>
              </w:rPr>
              <w:t>5</w:t>
            </w:r>
            <w:r>
              <w:rPr>
                <w:rFonts w:hint="default" w:ascii="Times New Roman" w:hAnsi="Times New Roman" w:eastAsia="仿宋" w:cs="Times New Roman"/>
                <w:kern w:val="2"/>
                <w:sz w:val="21"/>
                <w:szCs w:val="21"/>
              </w:rPr>
              <w:t>、</w:t>
            </w:r>
            <w:r>
              <w:rPr>
                <w:rFonts w:hint="eastAsia" w:eastAsia="仿宋" w:cs="Times New Roman"/>
                <w:kern w:val="2"/>
                <w:sz w:val="21"/>
                <w:szCs w:val="21"/>
                <w:lang w:eastAsia="zh-CN"/>
              </w:rPr>
              <w:t>*</w:t>
            </w:r>
            <w:r>
              <w:rPr>
                <w:rFonts w:hint="default" w:ascii="Times New Roman" w:hAnsi="Times New Roman" w:eastAsia="仿宋" w:cs="Times New Roman"/>
                <w:kern w:val="2"/>
                <w:sz w:val="21"/>
                <w:szCs w:val="21"/>
              </w:rPr>
              <w:t>的排放浓度（pH无量纲）满足《污水综合排放标准》（GB 8978-1996）表4中的三级标准要求，氨氮</w:t>
            </w:r>
            <w:r>
              <w:rPr>
                <w:rFonts w:hint="default" w:ascii="Times New Roman" w:hAnsi="Times New Roman" w:eastAsia="仿宋" w:cs="Times New Roman"/>
                <w:kern w:val="2"/>
                <w:sz w:val="21"/>
                <w:szCs w:val="21"/>
                <w:lang w:eastAsia="zh-CN"/>
              </w:rPr>
              <w:t>、</w:t>
            </w:r>
            <w:r>
              <w:rPr>
                <w:rFonts w:hint="default" w:ascii="Times New Roman" w:hAnsi="Times New Roman" w:eastAsia="仿宋" w:cs="Times New Roman"/>
                <w:kern w:val="2"/>
                <w:sz w:val="21"/>
                <w:szCs w:val="21"/>
                <w:lang w:val="en-US" w:eastAsia="zh-CN"/>
              </w:rPr>
              <w:t>AOX和</w:t>
            </w:r>
            <w:r>
              <w:rPr>
                <w:rFonts w:hint="default" w:ascii="Times New Roman" w:hAnsi="Times New Roman" w:eastAsia="仿宋" w:cs="Times New Roman"/>
                <w:kern w:val="2"/>
                <w:sz w:val="21"/>
                <w:szCs w:val="21"/>
              </w:rPr>
              <w:t>总磷的排放浓度满足苏环洋口港(南通)水务有限公司的接管要求。</w:t>
            </w:r>
          </w:p>
        </w:tc>
      </w:tr>
      <w:tr w14:paraId="5C6EB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Align w:val="center"/>
          </w:tcPr>
          <w:p w14:paraId="12522A15">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w:t>
            </w:r>
          </w:p>
        </w:tc>
        <w:tc>
          <w:tcPr>
            <w:tcW w:w="6644" w:type="dxa"/>
            <w:vAlign w:val="center"/>
          </w:tcPr>
          <w:p w14:paraId="164AEA2C">
            <w:pPr>
              <w:bidi w:val="0"/>
              <w:rPr>
                <w:rFonts w:hint="default" w:ascii="Times New Roman" w:hAnsi="Times New Roman" w:eastAsia="仿宋" w:cs="Times New Roman"/>
                <w:b/>
                <w:bCs/>
                <w:kern w:val="2"/>
                <w:sz w:val="28"/>
                <w:szCs w:val="28"/>
                <w:lang w:val="en-US" w:eastAsia="zh-CN" w:bidi="ar-SA"/>
              </w:rPr>
            </w:pPr>
            <w:r>
              <w:rPr>
                <w:rFonts w:hint="eastAsia" w:eastAsia="仿宋" w:cs="Times New Roman"/>
                <w:b/>
                <w:bCs/>
                <w:kern w:val="2"/>
                <w:sz w:val="28"/>
                <w:szCs w:val="28"/>
                <w:lang w:val="en-US" w:eastAsia="zh-CN" w:bidi="ar-SA"/>
              </w:rPr>
              <w:t>涉密删除</w:t>
            </w:r>
            <w:r>
              <w:rPr>
                <w:rFonts w:hint="default" w:ascii="Times New Roman" w:hAnsi="Times New Roman" w:eastAsia="仿宋" w:cs="Times New Roman"/>
                <w:b/>
                <w:bCs/>
                <w:kern w:val="2"/>
                <w:sz w:val="28"/>
                <w:szCs w:val="28"/>
                <w:lang w:val="en-US" w:eastAsia="zh-CN" w:bidi="ar-SA"/>
              </w:rPr>
              <w:t>。</w:t>
            </w:r>
          </w:p>
          <w:p w14:paraId="2FD4C926">
            <w:pPr>
              <w:pStyle w:val="52"/>
              <w:spacing w:line="360" w:lineRule="exact"/>
              <w:ind w:firstLine="0" w:firstLineChars="0"/>
              <w:rPr>
                <w:rFonts w:hint="default" w:ascii="Times New Roman" w:hAnsi="Times New Roman" w:eastAsia="仿宋" w:cs="Times New Roman"/>
                <w:sz w:val="21"/>
                <w:szCs w:val="21"/>
              </w:rPr>
            </w:pPr>
          </w:p>
        </w:tc>
        <w:tc>
          <w:tcPr>
            <w:tcW w:w="6719" w:type="dxa"/>
            <w:vAlign w:val="center"/>
          </w:tcPr>
          <w:p w14:paraId="50BE4813">
            <w:pPr>
              <w:bidi w:val="0"/>
              <w:rPr>
                <w:rFonts w:hint="default" w:ascii="Times New Roman" w:hAnsi="Times New Roman" w:eastAsia="仿宋" w:cs="Times New Roman"/>
                <w:b/>
                <w:bCs/>
                <w:kern w:val="2"/>
                <w:sz w:val="28"/>
                <w:szCs w:val="28"/>
                <w:lang w:val="en-US" w:eastAsia="zh-CN" w:bidi="ar-SA"/>
              </w:rPr>
            </w:pPr>
            <w:r>
              <w:rPr>
                <w:rFonts w:hint="eastAsia" w:eastAsia="仿宋" w:cs="Times New Roman"/>
                <w:b/>
                <w:bCs/>
                <w:kern w:val="2"/>
                <w:sz w:val="28"/>
                <w:szCs w:val="28"/>
                <w:lang w:val="en-US" w:eastAsia="zh-CN" w:bidi="ar-SA"/>
              </w:rPr>
              <w:t>涉密删除</w:t>
            </w:r>
            <w:r>
              <w:rPr>
                <w:rFonts w:hint="default" w:ascii="Times New Roman" w:hAnsi="Times New Roman" w:eastAsia="仿宋" w:cs="Times New Roman"/>
                <w:b/>
                <w:bCs/>
                <w:kern w:val="2"/>
                <w:sz w:val="28"/>
                <w:szCs w:val="28"/>
                <w:lang w:val="en-US" w:eastAsia="zh-CN" w:bidi="ar-SA"/>
              </w:rPr>
              <w:t>。</w:t>
            </w:r>
          </w:p>
          <w:p w14:paraId="15EC4B79">
            <w:pPr>
              <w:spacing w:line="360" w:lineRule="exact"/>
              <w:ind w:firstLine="0" w:firstLineChars="0"/>
              <w:rPr>
                <w:rFonts w:hint="default" w:ascii="Times New Roman" w:hAnsi="Times New Roman" w:eastAsia="仿宋" w:cs="Times New Roman"/>
                <w:kern w:val="2"/>
                <w:sz w:val="21"/>
                <w:szCs w:val="21"/>
              </w:rPr>
            </w:pPr>
          </w:p>
        </w:tc>
      </w:tr>
      <w:tr w14:paraId="3B9BA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Align w:val="center"/>
          </w:tcPr>
          <w:p w14:paraId="5FA96FA4">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3</w:t>
            </w:r>
          </w:p>
        </w:tc>
        <w:tc>
          <w:tcPr>
            <w:tcW w:w="6644" w:type="dxa"/>
            <w:vAlign w:val="center"/>
          </w:tcPr>
          <w:p w14:paraId="2AC94D06">
            <w:pPr>
              <w:spacing w:line="360" w:lineRule="exact"/>
              <w:ind w:firstLine="0" w:firstLineChars="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严格控制噪声环境影响。你公司须合理安排厂区总体平面布局，优选低噪声设备，高噪声源设备应尽量远离敏感点，并采取屏障隔声、降噪减振等有效措施，确保该项目运营期厂界噪声达到《工业企业厂界环境噪声排放标准》(GB12348-2008)表1中的3类标准，且不得降低周围环境敏感点声环境质量。</w:t>
            </w:r>
          </w:p>
        </w:tc>
        <w:tc>
          <w:tcPr>
            <w:tcW w:w="6719" w:type="dxa"/>
            <w:vAlign w:val="center"/>
          </w:tcPr>
          <w:p w14:paraId="515EC87C">
            <w:pPr>
              <w:spacing w:line="360" w:lineRule="exact"/>
              <w:ind w:firstLine="0" w:firstLineChars="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对高噪声设备采取了隔声、减震等措施，达标情况良好。验收监测期间，各厂界噪声昼、夜间等效连续A声级值均符合《工业企业厂界环境噪声排放标准》（GB12348-2008）3类标准。</w:t>
            </w:r>
          </w:p>
        </w:tc>
      </w:tr>
      <w:tr w14:paraId="7AE39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Align w:val="center"/>
          </w:tcPr>
          <w:p w14:paraId="76586EDE">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w:t>
            </w:r>
          </w:p>
        </w:tc>
        <w:tc>
          <w:tcPr>
            <w:tcW w:w="6644" w:type="dxa"/>
            <w:vAlign w:val="center"/>
          </w:tcPr>
          <w:p w14:paraId="1A134D32">
            <w:pPr>
              <w:spacing w:line="360" w:lineRule="exact"/>
              <w:ind w:firstLine="0" w:firstLineChars="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严格落实固废处置措施。按“减量化、资源化、无害化”的处置原则，落实各类固体废物尤其危险废物的收集、处置和综合利用措施，防止造成二次污染。按要求对一般固废进行回收利用或综合治理，危险废物须委托有资质单位处置，生活垃圾由环卫部门统一清运。</w:t>
            </w:r>
          </w:p>
        </w:tc>
        <w:tc>
          <w:tcPr>
            <w:tcW w:w="6719" w:type="dxa"/>
            <w:vAlign w:val="center"/>
          </w:tcPr>
          <w:p w14:paraId="55535F44">
            <w:pPr>
              <w:spacing w:line="360" w:lineRule="exact"/>
              <w:ind w:left="0" w:leftChars="0" w:firstLine="0" w:firstLineChars="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kern w:val="2"/>
                <w:sz w:val="21"/>
                <w:szCs w:val="21"/>
              </w:rPr>
              <w:t>按“减量化、资源化、无危害”的处置原则，各类固废处置方式见表4.1-</w:t>
            </w:r>
            <w:r>
              <w:rPr>
                <w:rFonts w:hint="default" w:ascii="Times New Roman" w:hAnsi="Times New Roman" w:eastAsia="仿宋" w:cs="Times New Roman"/>
                <w:color w:val="000000"/>
                <w:kern w:val="2"/>
                <w:sz w:val="21"/>
                <w:szCs w:val="21"/>
                <w:lang w:val="en-US" w:eastAsia="zh-CN"/>
              </w:rPr>
              <w:t>5</w:t>
            </w:r>
            <w:r>
              <w:rPr>
                <w:rFonts w:hint="default" w:ascii="Times New Roman" w:hAnsi="Times New Roman" w:eastAsia="仿宋" w:cs="Times New Roman"/>
                <w:color w:val="000000"/>
                <w:kern w:val="2"/>
                <w:sz w:val="21"/>
                <w:szCs w:val="21"/>
              </w:rPr>
              <w:t>，固废委托处置合同等见附件。本项目制定了危废转移联单制度，不产生二次污染。企业已制定固废台账。</w:t>
            </w:r>
          </w:p>
        </w:tc>
      </w:tr>
      <w:tr w14:paraId="681AA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Align w:val="center"/>
          </w:tcPr>
          <w:p w14:paraId="000A22DF">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w:t>
            </w:r>
          </w:p>
        </w:tc>
        <w:tc>
          <w:tcPr>
            <w:tcW w:w="6644" w:type="dxa"/>
            <w:vAlign w:val="center"/>
          </w:tcPr>
          <w:p w14:paraId="75AABFDA">
            <w:pPr>
              <w:spacing w:line="360" w:lineRule="exact"/>
              <w:ind w:firstLine="0" w:firstLineChars="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制度建立与风险防范。你公司须认真落实《报告书》中提出的各项事故应急防范措施，严格按照环境风险管理的有关规定制定环境事故应急预案，设置事故应急池，配备相应装备并定期进行演练，防止因事故发生污染环境事件。</w:t>
            </w:r>
          </w:p>
        </w:tc>
        <w:tc>
          <w:tcPr>
            <w:tcW w:w="6719" w:type="dxa"/>
            <w:vAlign w:val="center"/>
          </w:tcPr>
          <w:p w14:paraId="0357130B">
            <w:pPr>
              <w:spacing w:line="360" w:lineRule="exact"/>
              <w:ind w:left="0" w:leftChars="0" w:firstLine="0" w:firstLineChars="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本公司已编制环境风险应急预案，应急预案包含本项目相关内容，并于202</w:t>
            </w:r>
            <w:r>
              <w:rPr>
                <w:rFonts w:hint="default" w:ascii="Times New Roman" w:hAnsi="Times New Roman" w:eastAsia="仿宋" w:cs="Times New Roman"/>
                <w:color w:val="000000"/>
                <w:sz w:val="21"/>
                <w:szCs w:val="21"/>
                <w:lang w:val="en-US" w:eastAsia="zh-CN"/>
              </w:rPr>
              <w:t>4</w:t>
            </w:r>
            <w:r>
              <w:rPr>
                <w:rFonts w:hint="default" w:ascii="Times New Roman" w:hAnsi="Times New Roman" w:eastAsia="仿宋" w:cs="Times New Roman"/>
                <w:color w:val="000000"/>
                <w:sz w:val="21"/>
                <w:szCs w:val="21"/>
              </w:rPr>
              <w:t>年</w:t>
            </w:r>
            <w:r>
              <w:rPr>
                <w:rFonts w:hint="default" w:ascii="Times New Roman" w:hAnsi="Times New Roman" w:eastAsia="仿宋" w:cs="Times New Roman"/>
                <w:color w:val="000000"/>
                <w:sz w:val="21"/>
                <w:szCs w:val="21"/>
                <w:lang w:val="en-US" w:eastAsia="zh-CN"/>
              </w:rPr>
              <w:t>1</w:t>
            </w:r>
            <w:r>
              <w:rPr>
                <w:rFonts w:hint="default" w:ascii="Times New Roman" w:hAnsi="Times New Roman" w:eastAsia="仿宋" w:cs="Times New Roman"/>
                <w:color w:val="000000"/>
                <w:sz w:val="21"/>
                <w:szCs w:val="21"/>
              </w:rPr>
              <w:t>月</w:t>
            </w:r>
            <w:r>
              <w:rPr>
                <w:rFonts w:hint="default" w:ascii="Times New Roman" w:hAnsi="Times New Roman" w:eastAsia="仿宋" w:cs="Times New Roman"/>
                <w:color w:val="000000"/>
                <w:sz w:val="21"/>
                <w:szCs w:val="21"/>
                <w:lang w:val="en-US" w:eastAsia="zh-CN"/>
              </w:rPr>
              <w:t>29</w:t>
            </w:r>
            <w:r>
              <w:rPr>
                <w:rFonts w:hint="default" w:ascii="Times New Roman" w:hAnsi="Times New Roman" w:eastAsia="仿宋" w:cs="Times New Roman"/>
                <w:color w:val="000000"/>
                <w:sz w:val="21"/>
                <w:szCs w:val="21"/>
              </w:rPr>
              <w:t>日在南通市如东生态环境局备案（备案编号：320623-202</w:t>
            </w:r>
            <w:r>
              <w:rPr>
                <w:rFonts w:hint="default" w:ascii="Times New Roman" w:hAnsi="Times New Roman" w:eastAsia="仿宋" w:cs="Times New Roman"/>
                <w:color w:val="000000"/>
                <w:sz w:val="21"/>
                <w:szCs w:val="21"/>
                <w:lang w:val="en-US" w:eastAsia="zh-CN"/>
              </w:rPr>
              <w:t>4</w:t>
            </w:r>
            <w:r>
              <w:rPr>
                <w:rFonts w:hint="default" w:ascii="Times New Roman" w:hAnsi="Times New Roman" w:eastAsia="仿宋" w:cs="Times New Roman"/>
                <w:color w:val="000000"/>
                <w:sz w:val="21"/>
                <w:szCs w:val="21"/>
              </w:rPr>
              <w:t>-</w:t>
            </w:r>
            <w:r>
              <w:rPr>
                <w:rFonts w:hint="default" w:ascii="Times New Roman" w:hAnsi="Times New Roman" w:eastAsia="仿宋" w:cs="Times New Roman"/>
                <w:color w:val="000000"/>
                <w:sz w:val="21"/>
                <w:szCs w:val="21"/>
                <w:lang w:val="en-US" w:eastAsia="zh-CN"/>
              </w:rPr>
              <w:t>033</w:t>
            </w:r>
            <w:r>
              <w:rPr>
                <w:rFonts w:hint="default" w:ascii="Times New Roman" w:hAnsi="Times New Roman" w:eastAsia="仿宋" w:cs="Times New Roman"/>
                <w:color w:val="000000"/>
                <w:sz w:val="21"/>
                <w:szCs w:val="21"/>
              </w:rPr>
              <w:t>-M）。</w:t>
            </w:r>
          </w:p>
          <w:p w14:paraId="2C5C8A85">
            <w:pPr>
              <w:spacing w:line="360" w:lineRule="exact"/>
              <w:ind w:left="0" w:leftChars="0" w:firstLine="0" w:firstLineChars="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公司</w:t>
            </w:r>
            <w:r>
              <w:rPr>
                <w:rFonts w:hint="default" w:ascii="Times New Roman" w:hAnsi="Times New Roman" w:eastAsia="仿宋" w:cs="Times New Roman"/>
                <w:color w:val="000000"/>
                <w:sz w:val="21"/>
                <w:szCs w:val="21"/>
                <w:lang w:val="en-US" w:eastAsia="zh-CN"/>
              </w:rPr>
              <w:t>建有</w:t>
            </w:r>
            <w:r>
              <w:rPr>
                <w:rFonts w:hint="default" w:ascii="Times New Roman" w:hAnsi="Times New Roman" w:eastAsia="仿宋" w:cs="Times New Roman"/>
                <w:color w:val="000000"/>
                <w:sz w:val="21"/>
                <w:szCs w:val="21"/>
              </w:rPr>
              <w:t>1座</w:t>
            </w:r>
            <w:r>
              <w:rPr>
                <w:rFonts w:hint="default" w:ascii="Times New Roman" w:hAnsi="Times New Roman" w:eastAsia="仿宋" w:cs="Times New Roman"/>
                <w:color w:val="000000"/>
                <w:sz w:val="21"/>
                <w:szCs w:val="21"/>
                <w:lang w:val="en-US" w:eastAsia="zh-CN"/>
              </w:rPr>
              <w:t>760</w:t>
            </w:r>
            <w:r>
              <w:rPr>
                <w:rFonts w:hint="default" w:ascii="Times New Roman" w:hAnsi="Times New Roman" w:eastAsia="仿宋" w:cs="Times New Roman"/>
                <w:color w:val="000000"/>
                <w:sz w:val="21"/>
                <w:szCs w:val="21"/>
              </w:rPr>
              <w:t>m</w:t>
            </w:r>
            <w:r>
              <w:rPr>
                <w:rFonts w:hint="default" w:ascii="Times New Roman" w:hAnsi="Times New Roman" w:eastAsia="仿宋" w:cs="Times New Roman"/>
                <w:color w:val="000000"/>
                <w:sz w:val="21"/>
                <w:szCs w:val="21"/>
                <w:vertAlign w:val="superscript"/>
                <w:lang w:val="en-US" w:eastAsia="zh-CN"/>
              </w:rPr>
              <w:t>3</w:t>
            </w:r>
            <w:r>
              <w:rPr>
                <w:rFonts w:hint="default" w:ascii="Times New Roman" w:hAnsi="Times New Roman" w:eastAsia="仿宋" w:cs="Times New Roman"/>
                <w:color w:val="000000"/>
                <w:sz w:val="21"/>
                <w:szCs w:val="21"/>
              </w:rPr>
              <w:t>应急事故池</w:t>
            </w:r>
            <w:r>
              <w:rPr>
                <w:rFonts w:hint="default" w:ascii="Times New Roman" w:hAnsi="Times New Roman" w:eastAsia="仿宋" w:cs="Times New Roman"/>
                <w:color w:val="000000"/>
                <w:sz w:val="21"/>
                <w:szCs w:val="21"/>
                <w:lang w:eastAsia="zh-CN"/>
              </w:rPr>
              <w:t>，</w:t>
            </w:r>
            <w:r>
              <w:rPr>
                <w:rFonts w:hint="default" w:ascii="Times New Roman" w:hAnsi="Times New Roman" w:eastAsia="仿宋" w:cs="Times New Roman"/>
                <w:color w:val="000000"/>
                <w:sz w:val="21"/>
                <w:szCs w:val="21"/>
              </w:rPr>
              <w:t>1座初期雨水池</w:t>
            </w:r>
            <w:r>
              <w:rPr>
                <w:rFonts w:hint="default" w:ascii="Times New Roman" w:hAnsi="Times New Roman" w:eastAsia="仿宋" w:cs="Times New Roman"/>
                <w:color w:val="000000"/>
                <w:sz w:val="21"/>
                <w:szCs w:val="21"/>
                <w:lang w:val="en-US" w:eastAsia="zh-CN"/>
              </w:rPr>
              <w:t>760</w:t>
            </w:r>
            <w:r>
              <w:rPr>
                <w:rFonts w:hint="default" w:ascii="Times New Roman" w:hAnsi="Times New Roman" w:eastAsia="仿宋" w:cs="Times New Roman"/>
                <w:color w:val="000000"/>
                <w:sz w:val="21"/>
                <w:szCs w:val="21"/>
              </w:rPr>
              <w:t>m</w:t>
            </w:r>
            <w:r>
              <w:rPr>
                <w:rFonts w:hint="default" w:ascii="Times New Roman" w:hAnsi="Times New Roman" w:eastAsia="仿宋" w:cs="Times New Roman"/>
                <w:color w:val="000000"/>
                <w:sz w:val="21"/>
                <w:szCs w:val="21"/>
                <w:vertAlign w:val="superscript"/>
                <w:lang w:val="en-US" w:eastAsia="zh-CN"/>
              </w:rPr>
              <w:t>3</w:t>
            </w:r>
            <w:r>
              <w:rPr>
                <w:rFonts w:hint="default" w:ascii="Times New Roman" w:hAnsi="Times New Roman" w:eastAsia="仿宋" w:cs="Times New Roman"/>
                <w:color w:val="000000"/>
                <w:sz w:val="21"/>
                <w:szCs w:val="21"/>
              </w:rPr>
              <w:t>以及自动报警系统、应急监测措施、应急物资等，配备雨污管网切换阀等;车间内新增自动报警系统应急监测措施、应急物资、导流沟、DCS 控制系统、自动报警系统、可燃气体报警器等，事故废水泵送到事故应急池，并设有提升泵，能将事故废水泵送至污水处理站</w:t>
            </w:r>
            <w:r>
              <w:rPr>
                <w:rFonts w:hint="default" w:ascii="Times New Roman" w:hAnsi="Times New Roman" w:eastAsia="仿宋" w:cs="Times New Roman"/>
                <w:color w:val="000000"/>
                <w:sz w:val="21"/>
                <w:szCs w:val="21"/>
                <w:lang w:eastAsia="zh-CN"/>
              </w:rPr>
              <w:t>，</w:t>
            </w:r>
            <w:r>
              <w:rPr>
                <w:rFonts w:hint="default" w:ascii="Times New Roman" w:hAnsi="Times New Roman" w:eastAsia="仿宋" w:cs="Times New Roman"/>
                <w:color w:val="000000"/>
                <w:sz w:val="21"/>
                <w:szCs w:val="21"/>
                <w:lang w:val="en-US" w:eastAsia="zh-CN"/>
              </w:rPr>
              <w:t>可满足暂存突发事故废水要求</w:t>
            </w:r>
            <w:r>
              <w:rPr>
                <w:rFonts w:hint="default" w:ascii="Times New Roman" w:hAnsi="Times New Roman" w:eastAsia="仿宋" w:cs="Times New Roman"/>
                <w:color w:val="000000"/>
                <w:sz w:val="21"/>
                <w:szCs w:val="21"/>
              </w:rPr>
              <w:t>。</w:t>
            </w:r>
          </w:p>
        </w:tc>
      </w:tr>
      <w:tr w14:paraId="061A1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Align w:val="center"/>
          </w:tcPr>
          <w:p w14:paraId="29FEA3BA">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6</w:t>
            </w:r>
          </w:p>
        </w:tc>
        <w:tc>
          <w:tcPr>
            <w:tcW w:w="6644" w:type="dxa"/>
            <w:vAlign w:val="center"/>
          </w:tcPr>
          <w:p w14:paraId="42408951">
            <w:pPr>
              <w:spacing w:line="360" w:lineRule="exact"/>
              <w:ind w:firstLine="0" w:firstLineChars="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按照《江苏省排污口设置及规范化整治管理办法》要求，规范设置排污口，设置排口标志牌，排气简预留监测采样口;同时按照排污许可证要求，落实环境监测计划，开展自行监测，保存原始监测记录。</w:t>
            </w:r>
          </w:p>
        </w:tc>
        <w:tc>
          <w:tcPr>
            <w:tcW w:w="6719" w:type="dxa"/>
            <w:vAlign w:val="center"/>
          </w:tcPr>
          <w:p w14:paraId="7063339F">
            <w:pPr>
              <w:spacing w:line="360" w:lineRule="exact"/>
              <w:ind w:firstLine="0" w:firstLineChars="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已按照相关规范要求设置排污口，污水总排口安装流量计、COD在线监测仪、氨氮在线监测仪等在线监控设备，排气简预留采样口，树立标志牌。</w:t>
            </w:r>
          </w:p>
        </w:tc>
      </w:tr>
      <w:tr w14:paraId="4FAA1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Align w:val="center"/>
          </w:tcPr>
          <w:p w14:paraId="16B20EF2">
            <w:pPr>
              <w:spacing w:line="360" w:lineRule="exact"/>
              <w:ind w:firstLine="0" w:firstLineChars="0"/>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7</w:t>
            </w:r>
          </w:p>
        </w:tc>
        <w:tc>
          <w:tcPr>
            <w:tcW w:w="6644" w:type="dxa"/>
            <w:vAlign w:val="center"/>
          </w:tcPr>
          <w:p w14:paraId="568C62E2">
            <w:pPr>
              <w:pStyle w:val="52"/>
              <w:spacing w:line="360" w:lineRule="exact"/>
              <w:ind w:firstLine="0" w:firstLineChars="0"/>
              <w:rPr>
                <w:rFonts w:hint="default" w:ascii="Times New Roman" w:hAnsi="Times New Roman" w:eastAsia="仿宋" w:cs="Times New Roman"/>
                <w:sz w:val="21"/>
                <w:szCs w:val="21"/>
              </w:rPr>
            </w:pPr>
            <w:r>
              <w:rPr>
                <w:rFonts w:hint="default" w:ascii="Times New Roman" w:hAnsi="Times New Roman" w:eastAsia="仿宋" w:cs="Times New Roman"/>
                <w:kern w:val="2"/>
                <w:sz w:val="21"/>
                <w:szCs w:val="21"/>
              </w:rPr>
              <w:t>项目建成后排入污水处理厂的废水污染物接管总量控制指标初步核定为（全厂/本项目）：</w:t>
            </w:r>
            <w:r>
              <w:rPr>
                <w:rFonts w:hint="default" w:ascii="Times New Roman" w:hAnsi="Times New Roman" w:eastAsia="仿宋" w:cs="Times New Roman"/>
                <w:kern w:val="2"/>
                <w:sz w:val="21"/>
                <w:szCs w:val="21"/>
                <w:highlight w:val="none"/>
              </w:rPr>
              <w:t>废水排放量≤</w:t>
            </w:r>
            <w:r>
              <w:rPr>
                <w:rFonts w:hint="default" w:ascii="Times New Roman" w:hAnsi="Times New Roman" w:eastAsia="仿宋" w:cs="Times New Roman"/>
                <w:kern w:val="2"/>
                <w:sz w:val="21"/>
                <w:szCs w:val="21"/>
                <w:highlight w:val="none"/>
                <w:lang w:val="en-US" w:eastAsia="zh-CN"/>
              </w:rPr>
              <w:t>144677.83</w:t>
            </w:r>
            <w:r>
              <w:rPr>
                <w:rFonts w:hint="default" w:ascii="Times New Roman" w:hAnsi="Times New Roman" w:eastAsia="仿宋" w:cs="Times New Roman"/>
                <w:kern w:val="2"/>
                <w:sz w:val="21"/>
                <w:szCs w:val="21"/>
                <w:highlight w:val="none"/>
              </w:rPr>
              <w:t>/</w:t>
            </w:r>
            <w:r>
              <w:rPr>
                <w:rFonts w:hint="default" w:ascii="Times New Roman" w:hAnsi="Times New Roman" w:eastAsia="仿宋" w:cs="Times New Roman"/>
                <w:kern w:val="2"/>
                <w:sz w:val="21"/>
                <w:szCs w:val="21"/>
                <w:highlight w:val="none"/>
                <w:lang w:val="en-US" w:eastAsia="zh-CN"/>
              </w:rPr>
              <w:t>82408</w:t>
            </w:r>
            <w:r>
              <w:rPr>
                <w:rFonts w:hint="default" w:ascii="Times New Roman" w:hAnsi="Times New Roman" w:eastAsia="仿宋" w:cs="Times New Roman"/>
                <w:kern w:val="2"/>
                <w:sz w:val="21"/>
                <w:szCs w:val="21"/>
                <w:highlight w:val="none"/>
              </w:rPr>
              <w:t>吨/年，COD≤</w:t>
            </w:r>
            <w:r>
              <w:rPr>
                <w:rFonts w:hint="default" w:ascii="Times New Roman" w:hAnsi="Times New Roman" w:eastAsia="仿宋" w:cs="Times New Roman"/>
                <w:color w:val="000000" w:themeColor="text1"/>
                <w:sz w:val="21"/>
                <w:szCs w:val="21"/>
                <w14:textFill>
                  <w14:solidFill>
                    <w14:schemeClr w14:val="tx1"/>
                  </w14:solidFill>
                </w14:textFill>
              </w:rPr>
              <w:t>13.3104</w:t>
            </w:r>
            <w:r>
              <w:rPr>
                <w:rFonts w:hint="default" w:ascii="Times New Roman" w:hAnsi="Times New Roman" w:eastAsia="仿宋" w:cs="Times New Roman"/>
                <w:kern w:val="2"/>
                <w:sz w:val="21"/>
                <w:szCs w:val="21"/>
                <w:highlight w:val="none"/>
              </w:rPr>
              <w:t>/</w:t>
            </w:r>
            <w:r>
              <w:rPr>
                <w:rFonts w:hint="default" w:ascii="Times New Roman" w:hAnsi="Times New Roman" w:eastAsia="仿宋" w:cs="Times New Roman"/>
                <w:color w:val="000000" w:themeColor="text1"/>
                <w:sz w:val="21"/>
                <w:szCs w:val="21"/>
                <w:lang w:val="en-US" w:eastAsia="zh-CN"/>
                <w14:textFill>
                  <w14:solidFill>
                    <w14:schemeClr w14:val="tx1"/>
                  </w14:solidFill>
                </w14:textFill>
              </w:rPr>
              <w:t>7.5816</w:t>
            </w:r>
            <w:r>
              <w:rPr>
                <w:rFonts w:hint="default" w:ascii="Times New Roman" w:hAnsi="Times New Roman" w:eastAsia="仿宋" w:cs="Times New Roman"/>
                <w:kern w:val="2"/>
                <w:sz w:val="21"/>
                <w:szCs w:val="21"/>
                <w:highlight w:val="none"/>
              </w:rPr>
              <w:t>吨/年、氨氮≤</w:t>
            </w:r>
            <w:r>
              <w:rPr>
                <w:rFonts w:hint="default" w:ascii="Times New Roman" w:hAnsi="Times New Roman" w:eastAsia="仿宋" w:cs="Times New Roman"/>
                <w:color w:val="000000" w:themeColor="text1"/>
                <w:sz w:val="21"/>
                <w:szCs w:val="21"/>
                <w14:textFill>
                  <w14:solidFill>
                    <w14:schemeClr w14:val="tx1"/>
                  </w14:solidFill>
                </w14:textFill>
              </w:rPr>
              <w:t>1.736</w:t>
            </w:r>
            <w:r>
              <w:rPr>
                <w:rFonts w:hint="default" w:ascii="Times New Roman" w:hAnsi="Times New Roman" w:eastAsia="仿宋" w:cs="Times New Roman"/>
                <w:color w:val="000000" w:themeColor="text1"/>
                <w:sz w:val="21"/>
                <w:szCs w:val="21"/>
                <w:lang w:val="en-US" w:eastAsia="zh-CN"/>
                <w14:textFill>
                  <w14:solidFill>
                    <w14:schemeClr w14:val="tx1"/>
                  </w14:solidFill>
                </w14:textFill>
              </w:rPr>
              <w:t>1</w:t>
            </w:r>
            <w:r>
              <w:rPr>
                <w:rFonts w:hint="default" w:ascii="Times New Roman" w:hAnsi="Times New Roman" w:eastAsia="仿宋" w:cs="Times New Roman"/>
                <w:kern w:val="2"/>
                <w:sz w:val="21"/>
                <w:szCs w:val="21"/>
                <w:highlight w:val="none"/>
              </w:rPr>
              <w:t>/</w:t>
            </w:r>
            <w:r>
              <w:rPr>
                <w:rFonts w:hint="default" w:ascii="Times New Roman" w:hAnsi="Times New Roman" w:eastAsia="仿宋" w:cs="Times New Roman"/>
                <w:color w:val="000000" w:themeColor="text1"/>
                <w:sz w:val="21"/>
                <w:szCs w:val="21"/>
                <w:lang w:val="en-US" w:eastAsia="zh-CN"/>
                <w14:textFill>
                  <w14:solidFill>
                    <w14:schemeClr w14:val="tx1"/>
                  </w14:solidFill>
                </w14:textFill>
              </w:rPr>
              <w:t>0.9889</w:t>
            </w:r>
            <w:r>
              <w:rPr>
                <w:rFonts w:hint="default" w:ascii="Times New Roman" w:hAnsi="Times New Roman" w:eastAsia="仿宋" w:cs="Times New Roman"/>
                <w:kern w:val="2"/>
                <w:sz w:val="21"/>
                <w:szCs w:val="21"/>
                <w:highlight w:val="none"/>
              </w:rPr>
              <w:t>吨/年</w:t>
            </w:r>
            <w:r>
              <w:rPr>
                <w:rFonts w:hint="default" w:ascii="Times New Roman" w:hAnsi="Times New Roman" w:eastAsia="仿宋" w:cs="Times New Roman"/>
                <w:kern w:val="2"/>
                <w:sz w:val="21"/>
                <w:szCs w:val="21"/>
                <w:highlight w:val="none"/>
                <w:lang w:eastAsia="zh-CN"/>
              </w:rPr>
              <w:t>、</w:t>
            </w:r>
            <w:r>
              <w:rPr>
                <w:rFonts w:hint="default" w:ascii="Times New Roman" w:hAnsi="Times New Roman" w:eastAsia="仿宋" w:cs="Times New Roman"/>
                <w:kern w:val="2"/>
                <w:sz w:val="21"/>
                <w:szCs w:val="21"/>
                <w:highlight w:val="none"/>
                <w:lang w:val="en-US" w:eastAsia="zh-CN"/>
              </w:rPr>
              <w:t>总氮</w:t>
            </w:r>
            <w:r>
              <w:rPr>
                <w:rFonts w:hint="default" w:ascii="Times New Roman" w:hAnsi="Times New Roman" w:eastAsia="仿宋" w:cs="Times New Roman"/>
                <w:kern w:val="2"/>
                <w:sz w:val="21"/>
                <w:szCs w:val="21"/>
                <w:highlight w:val="none"/>
              </w:rPr>
              <w:t>≤</w:t>
            </w:r>
            <w:r>
              <w:rPr>
                <w:rFonts w:hint="default" w:ascii="Times New Roman" w:hAnsi="Times New Roman" w:eastAsia="仿宋" w:cs="Times New Roman"/>
                <w:color w:val="000000" w:themeColor="text1"/>
                <w:sz w:val="21"/>
                <w:szCs w:val="21"/>
                <w14:textFill>
                  <w14:solidFill>
                    <w14:schemeClr w14:val="tx1"/>
                  </w14:solidFill>
                </w14:textFill>
              </w:rPr>
              <w:t>3.0382</w:t>
            </w:r>
            <w:r>
              <w:rPr>
                <w:rFonts w:hint="default" w:ascii="Times New Roman" w:hAnsi="Times New Roman" w:eastAsia="仿宋" w:cs="Times New Roman"/>
                <w:kern w:val="2"/>
                <w:sz w:val="21"/>
                <w:szCs w:val="21"/>
                <w:highlight w:val="none"/>
              </w:rPr>
              <w:t>/</w:t>
            </w:r>
            <w:r>
              <w:rPr>
                <w:rFonts w:hint="default" w:ascii="Times New Roman" w:hAnsi="Times New Roman" w:eastAsia="仿宋" w:cs="Times New Roman"/>
                <w:color w:val="000000" w:themeColor="text1"/>
                <w:sz w:val="21"/>
                <w:szCs w:val="21"/>
                <w:lang w:val="en-US" w:eastAsia="zh-CN"/>
                <w14:textFill>
                  <w14:solidFill>
                    <w14:schemeClr w14:val="tx1"/>
                  </w14:solidFill>
                </w14:textFill>
              </w:rPr>
              <w:t>1.7305</w:t>
            </w:r>
            <w:r>
              <w:rPr>
                <w:rFonts w:hint="default" w:ascii="Times New Roman" w:hAnsi="Times New Roman" w:eastAsia="仿宋" w:cs="Times New Roman"/>
                <w:color w:val="000000" w:themeColor="text1"/>
                <w:sz w:val="21"/>
                <w:szCs w:val="21"/>
                <w14:textFill>
                  <w14:solidFill>
                    <w14:schemeClr w14:val="tx1"/>
                  </w14:solidFill>
                </w14:textFill>
              </w:rPr>
              <w:t>t</w:t>
            </w:r>
            <w:r>
              <w:rPr>
                <w:rFonts w:hint="default" w:ascii="Times New Roman" w:hAnsi="Times New Roman" w:eastAsia="仿宋" w:cs="Times New Roman"/>
                <w:kern w:val="2"/>
                <w:sz w:val="21"/>
                <w:szCs w:val="21"/>
                <w:highlight w:val="none"/>
              </w:rPr>
              <w:t>吨/年</w:t>
            </w:r>
            <w:r>
              <w:rPr>
                <w:rFonts w:hint="default" w:ascii="Times New Roman" w:hAnsi="Times New Roman" w:eastAsia="仿宋" w:cs="Times New Roman"/>
                <w:kern w:val="2"/>
                <w:sz w:val="21"/>
                <w:szCs w:val="21"/>
                <w:highlight w:val="none"/>
                <w:lang w:eastAsia="zh-CN"/>
              </w:rPr>
              <w:t>、</w:t>
            </w:r>
            <w:r>
              <w:rPr>
                <w:rFonts w:hint="default" w:ascii="Times New Roman" w:hAnsi="Times New Roman" w:eastAsia="仿宋" w:cs="Times New Roman"/>
                <w:kern w:val="2"/>
                <w:sz w:val="21"/>
                <w:szCs w:val="21"/>
                <w:highlight w:val="none"/>
                <w:lang w:val="en-US" w:eastAsia="zh-CN"/>
              </w:rPr>
              <w:t>总磷</w:t>
            </w:r>
            <w:r>
              <w:rPr>
                <w:rFonts w:hint="default" w:ascii="Times New Roman" w:hAnsi="Times New Roman" w:eastAsia="仿宋" w:cs="Times New Roman"/>
                <w:kern w:val="2"/>
                <w:sz w:val="21"/>
                <w:szCs w:val="21"/>
                <w:highlight w:val="none"/>
              </w:rPr>
              <w:t>≤</w:t>
            </w:r>
            <w:r>
              <w:rPr>
                <w:rFonts w:hint="default" w:ascii="Times New Roman" w:hAnsi="Times New Roman" w:eastAsia="仿宋" w:cs="Times New Roman"/>
                <w:color w:val="000000" w:themeColor="text1"/>
                <w:sz w:val="21"/>
                <w:szCs w:val="21"/>
                <w14:textFill>
                  <w14:solidFill>
                    <w14:schemeClr w14:val="tx1"/>
                  </w14:solidFill>
                </w14:textFill>
              </w:rPr>
              <w:t>0.0723</w:t>
            </w:r>
            <w:r>
              <w:rPr>
                <w:rFonts w:hint="default" w:ascii="Times New Roman" w:hAnsi="Times New Roman" w:eastAsia="仿宋" w:cs="Times New Roman"/>
                <w:kern w:val="2"/>
                <w:sz w:val="21"/>
                <w:szCs w:val="21"/>
                <w:highlight w:val="none"/>
              </w:rPr>
              <w:t>/</w:t>
            </w:r>
            <w:r>
              <w:rPr>
                <w:rFonts w:hint="default" w:ascii="Times New Roman" w:hAnsi="Times New Roman" w:eastAsia="仿宋" w:cs="Times New Roman"/>
                <w:color w:val="000000" w:themeColor="text1"/>
                <w:sz w:val="21"/>
                <w:szCs w:val="21"/>
                <w:lang w:val="en-US" w:eastAsia="zh-CN"/>
                <w14:textFill>
                  <w14:solidFill>
                    <w14:schemeClr w14:val="tx1"/>
                  </w14:solidFill>
                </w14:textFill>
              </w:rPr>
              <w:t>0.041</w:t>
            </w:r>
            <w:r>
              <w:rPr>
                <w:rFonts w:hint="default" w:ascii="Times New Roman" w:hAnsi="Times New Roman" w:eastAsia="仿宋" w:cs="Times New Roman"/>
                <w:kern w:val="2"/>
                <w:sz w:val="21"/>
                <w:szCs w:val="21"/>
                <w:highlight w:val="none"/>
              </w:rPr>
              <w:t>吨/年;项目废气污染物排放总量控制指标初步核定为（全厂/本项目）：VOCS≤1.9389/1.3416吨/年;固体废物排放总量为零</w:t>
            </w:r>
            <w:r>
              <w:rPr>
                <w:rFonts w:hint="default" w:ascii="Times New Roman" w:hAnsi="Times New Roman" w:eastAsia="仿宋" w:cs="Times New Roman"/>
                <w:kern w:val="2"/>
                <w:sz w:val="21"/>
                <w:szCs w:val="21"/>
              </w:rPr>
              <w:t>。最终排放总量待项目验收时予以确定。</w:t>
            </w:r>
          </w:p>
        </w:tc>
        <w:tc>
          <w:tcPr>
            <w:tcW w:w="6719" w:type="dxa"/>
            <w:vAlign w:val="center"/>
          </w:tcPr>
          <w:p w14:paraId="50103261">
            <w:pPr>
              <w:spacing w:line="360" w:lineRule="exact"/>
              <w:ind w:firstLine="315" w:firstLineChars="15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验收监测结果表明，本项目、全厂废水中各类污染物的实际年排放总量符合总量控制指标要求。</w:t>
            </w:r>
            <w:r>
              <w:rPr>
                <w:rFonts w:hint="default" w:ascii="Times New Roman" w:hAnsi="Times New Roman" w:eastAsia="仿宋" w:cs="Times New Roman"/>
                <w:kern w:val="2"/>
                <w:sz w:val="21"/>
                <w:szCs w:val="21"/>
              </w:rPr>
              <w:t>固体废物排放总量为零。</w:t>
            </w:r>
          </w:p>
        </w:tc>
      </w:tr>
    </w:tbl>
    <w:p w14:paraId="79BED032">
      <w:pPr>
        <w:pStyle w:val="10"/>
        <w:snapToGrid w:val="0"/>
        <w:spacing w:line="240" w:lineRule="auto"/>
        <w:ind w:firstLine="480"/>
        <w:rPr>
          <w:rFonts w:hint="default" w:ascii="Times New Roman" w:hAnsi="Times New Roman" w:cs="Times New Roman"/>
          <w:lang w:val="en-GB"/>
        </w:rPr>
        <w:sectPr>
          <w:pgSz w:w="16838" w:h="11906" w:orient="landscape"/>
          <w:pgMar w:top="1800" w:right="1440" w:bottom="1800" w:left="1440" w:header="851" w:footer="992" w:gutter="0"/>
          <w:cols w:space="425" w:num="1"/>
          <w:docGrid w:type="lines" w:linePitch="381" w:charSpace="0"/>
        </w:sectPr>
      </w:pPr>
    </w:p>
    <w:p w14:paraId="49512E14">
      <w:pPr>
        <w:pStyle w:val="2"/>
        <w:spacing w:before="381" w:after="381"/>
        <w:rPr>
          <w:rFonts w:hint="default" w:ascii="Times New Roman" w:hAnsi="Times New Roman" w:cs="Times New Roman"/>
          <w:color w:val="000000"/>
        </w:rPr>
      </w:pPr>
      <w:bookmarkStart w:id="137" w:name="_Toc6813"/>
      <w:bookmarkStart w:id="138" w:name="_Toc520410280"/>
      <w:bookmarkStart w:id="139" w:name="_Toc5204554"/>
      <w:r>
        <w:rPr>
          <w:rFonts w:hint="default" w:ascii="Times New Roman" w:hAnsi="Times New Roman" w:cs="Times New Roman"/>
          <w:color w:val="000000"/>
        </w:rPr>
        <w:t>11验收监测结论及建议</w:t>
      </w:r>
      <w:bookmarkEnd w:id="137"/>
      <w:bookmarkEnd w:id="138"/>
      <w:bookmarkEnd w:id="139"/>
    </w:p>
    <w:p w14:paraId="0D7822A6">
      <w:pPr>
        <w:pStyle w:val="3"/>
        <w:spacing w:before="163" w:after="163"/>
        <w:ind w:firstLine="0" w:firstLineChars="0"/>
        <w:rPr>
          <w:rFonts w:hint="default" w:ascii="Times New Roman" w:hAnsi="Times New Roman" w:cs="Times New Roman"/>
          <w:color w:val="000000"/>
        </w:rPr>
      </w:pPr>
      <w:bookmarkStart w:id="140" w:name="_Toc15031"/>
      <w:bookmarkStart w:id="141" w:name="_Toc5204555"/>
      <w:bookmarkStart w:id="142" w:name="_Toc520410281"/>
      <w:r>
        <w:rPr>
          <w:rFonts w:hint="default" w:ascii="Times New Roman" w:hAnsi="Times New Roman" w:cs="Times New Roman"/>
          <w:color w:val="000000"/>
        </w:rPr>
        <w:t>11.1 结论</w:t>
      </w:r>
      <w:bookmarkEnd w:id="140"/>
      <w:bookmarkEnd w:id="141"/>
      <w:bookmarkEnd w:id="142"/>
    </w:p>
    <w:p w14:paraId="03AC3D22">
      <w:pPr>
        <w:spacing w:line="480" w:lineRule="exact"/>
        <w:ind w:firstLine="562"/>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rPr>
        <w:t>表11-1  验收监测结论</w:t>
      </w:r>
    </w:p>
    <w:tbl>
      <w:tblPr>
        <w:tblStyle w:val="25"/>
        <w:tblW w:w="88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237"/>
        <w:gridCol w:w="1717"/>
      </w:tblGrid>
      <w:tr w14:paraId="3A825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tcBorders>
              <w:top w:val="single" w:color="auto" w:sz="12" w:space="0"/>
            </w:tcBorders>
            <w:vAlign w:val="center"/>
          </w:tcPr>
          <w:p w14:paraId="49337C28">
            <w:pPr>
              <w:pStyle w:val="21"/>
              <w:rPr>
                <w:rFonts w:hint="default" w:ascii="Times New Roman" w:hAnsi="Times New Roman" w:eastAsia="仿宋" w:cs="Times New Roman"/>
                <w:b/>
                <w:color w:val="000000"/>
                <w:sz w:val="21"/>
                <w:szCs w:val="21"/>
              </w:rPr>
            </w:pPr>
            <w:bookmarkStart w:id="143" w:name="_Toc53286644"/>
            <w:bookmarkStart w:id="144" w:name="_Toc53287670"/>
            <w:bookmarkStart w:id="145" w:name="_Toc53288672"/>
            <w:r>
              <w:rPr>
                <w:rFonts w:hint="default" w:ascii="Times New Roman" w:hAnsi="Times New Roman" w:eastAsia="仿宋" w:cs="Times New Roman"/>
                <w:b/>
                <w:color w:val="000000"/>
                <w:sz w:val="21"/>
                <w:szCs w:val="21"/>
              </w:rPr>
              <w:t>类别</w:t>
            </w:r>
            <w:bookmarkEnd w:id="143"/>
            <w:bookmarkEnd w:id="144"/>
            <w:bookmarkEnd w:id="145"/>
          </w:p>
        </w:tc>
        <w:tc>
          <w:tcPr>
            <w:tcW w:w="6237" w:type="dxa"/>
            <w:tcBorders>
              <w:top w:val="single" w:color="auto" w:sz="12" w:space="0"/>
            </w:tcBorders>
            <w:vAlign w:val="center"/>
          </w:tcPr>
          <w:p w14:paraId="31A4EF25">
            <w:pPr>
              <w:pStyle w:val="21"/>
              <w:rPr>
                <w:rFonts w:hint="default" w:ascii="Times New Roman" w:hAnsi="Times New Roman" w:eastAsia="仿宋" w:cs="Times New Roman"/>
                <w:b/>
                <w:color w:val="000000"/>
                <w:sz w:val="21"/>
                <w:szCs w:val="21"/>
              </w:rPr>
            </w:pPr>
            <w:bookmarkStart w:id="146" w:name="_Toc53288674"/>
            <w:bookmarkStart w:id="147" w:name="_Toc53286646"/>
            <w:bookmarkStart w:id="148" w:name="_Toc53287672"/>
            <w:r>
              <w:rPr>
                <w:rFonts w:hint="default" w:ascii="Times New Roman" w:hAnsi="Times New Roman" w:eastAsia="仿宋" w:cs="Times New Roman"/>
                <w:b/>
                <w:color w:val="000000"/>
                <w:sz w:val="21"/>
                <w:szCs w:val="21"/>
              </w:rPr>
              <w:t>污染物达标情况</w:t>
            </w:r>
            <w:bookmarkEnd w:id="146"/>
            <w:bookmarkEnd w:id="147"/>
            <w:bookmarkEnd w:id="148"/>
          </w:p>
        </w:tc>
        <w:tc>
          <w:tcPr>
            <w:tcW w:w="1717" w:type="dxa"/>
            <w:tcBorders>
              <w:top w:val="single" w:color="auto" w:sz="12" w:space="0"/>
            </w:tcBorders>
            <w:vAlign w:val="center"/>
          </w:tcPr>
          <w:p w14:paraId="3ECC4D79">
            <w:pPr>
              <w:pStyle w:val="21"/>
              <w:rPr>
                <w:rFonts w:hint="default" w:ascii="Times New Roman" w:hAnsi="Times New Roman" w:eastAsia="仿宋" w:cs="Times New Roman"/>
                <w:b/>
                <w:color w:val="000000"/>
                <w:sz w:val="21"/>
                <w:szCs w:val="21"/>
              </w:rPr>
            </w:pPr>
            <w:bookmarkStart w:id="149" w:name="_Toc53286647"/>
            <w:bookmarkStart w:id="150" w:name="_Toc53287673"/>
            <w:bookmarkStart w:id="151" w:name="_Toc53288675"/>
            <w:r>
              <w:rPr>
                <w:rFonts w:hint="default" w:ascii="Times New Roman" w:hAnsi="Times New Roman" w:eastAsia="仿宋" w:cs="Times New Roman"/>
                <w:b/>
                <w:color w:val="000000"/>
                <w:sz w:val="21"/>
                <w:szCs w:val="21"/>
              </w:rPr>
              <w:t>总量控制情况</w:t>
            </w:r>
            <w:bookmarkEnd w:id="149"/>
            <w:bookmarkEnd w:id="150"/>
            <w:bookmarkEnd w:id="151"/>
          </w:p>
        </w:tc>
      </w:tr>
      <w:tr w14:paraId="33734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Align w:val="center"/>
          </w:tcPr>
          <w:p w14:paraId="50CAFA8C">
            <w:pPr>
              <w:pStyle w:val="21"/>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废水</w:t>
            </w:r>
          </w:p>
        </w:tc>
        <w:tc>
          <w:tcPr>
            <w:tcW w:w="6237" w:type="dxa"/>
            <w:vAlign w:val="center"/>
          </w:tcPr>
          <w:p w14:paraId="5163D912">
            <w:pPr>
              <w:pStyle w:val="21"/>
              <w:jc w:val="both"/>
              <w:rPr>
                <w:rFonts w:hint="default" w:ascii="Times New Roman" w:hAnsi="Times New Roman" w:eastAsia="仿宋" w:cs="Times New Roman"/>
                <w:color w:val="000000"/>
                <w:sz w:val="21"/>
                <w:szCs w:val="21"/>
              </w:rPr>
            </w:pPr>
            <w:r>
              <w:rPr>
                <w:rFonts w:hint="default" w:ascii="Times New Roman" w:hAnsi="Times New Roman" w:eastAsia="仿宋" w:cs="Times New Roman"/>
                <w:kern w:val="2"/>
                <w:sz w:val="21"/>
                <w:szCs w:val="21"/>
              </w:rPr>
              <w:t>验收监测数据表明，验收监测期间公司废水总排口pH、COD、SS、总氮、石油类、动植物油、BOD</w:t>
            </w:r>
            <w:r>
              <w:rPr>
                <w:rFonts w:hint="default" w:ascii="Times New Roman" w:hAnsi="Times New Roman" w:eastAsia="仿宋" w:cs="Times New Roman"/>
                <w:kern w:val="2"/>
                <w:sz w:val="21"/>
                <w:szCs w:val="21"/>
                <w:vertAlign w:val="subscript"/>
              </w:rPr>
              <w:t>5</w:t>
            </w:r>
            <w:r>
              <w:rPr>
                <w:rFonts w:hint="default" w:ascii="Times New Roman" w:hAnsi="Times New Roman" w:eastAsia="仿宋" w:cs="Times New Roman"/>
                <w:kern w:val="2"/>
                <w:sz w:val="21"/>
                <w:szCs w:val="21"/>
              </w:rPr>
              <w:t>、</w:t>
            </w:r>
            <w:r>
              <w:rPr>
                <w:rFonts w:hint="eastAsia" w:ascii="Times New Roman" w:eastAsia="仿宋" w:cs="Times New Roman"/>
                <w:kern w:val="2"/>
                <w:sz w:val="21"/>
                <w:szCs w:val="21"/>
                <w:lang w:eastAsia="zh-CN"/>
              </w:rPr>
              <w:t>*</w:t>
            </w:r>
            <w:r>
              <w:rPr>
                <w:rFonts w:hint="default" w:ascii="Times New Roman" w:hAnsi="Times New Roman" w:eastAsia="仿宋" w:cs="Times New Roman"/>
                <w:kern w:val="2"/>
                <w:sz w:val="21"/>
                <w:szCs w:val="21"/>
              </w:rPr>
              <w:t>的排放浓度（pH无量纲）满足《污水综合排放标准》（GB 8978-1996）表4中的三级标准要求，氨氮</w:t>
            </w:r>
            <w:r>
              <w:rPr>
                <w:rFonts w:hint="default" w:ascii="Times New Roman" w:hAnsi="Times New Roman" w:eastAsia="仿宋" w:cs="Times New Roman"/>
                <w:kern w:val="2"/>
                <w:sz w:val="21"/>
                <w:szCs w:val="21"/>
                <w:lang w:eastAsia="zh-CN"/>
              </w:rPr>
              <w:t>、</w:t>
            </w:r>
            <w:r>
              <w:rPr>
                <w:rFonts w:hint="default" w:ascii="Times New Roman" w:hAnsi="Times New Roman" w:eastAsia="仿宋" w:cs="Times New Roman"/>
                <w:kern w:val="2"/>
                <w:sz w:val="21"/>
                <w:szCs w:val="21"/>
                <w:lang w:val="en-US" w:eastAsia="zh-CN"/>
              </w:rPr>
              <w:t>AOX和</w:t>
            </w:r>
            <w:r>
              <w:rPr>
                <w:rFonts w:hint="default" w:ascii="Times New Roman" w:hAnsi="Times New Roman" w:eastAsia="仿宋" w:cs="Times New Roman"/>
                <w:kern w:val="2"/>
                <w:sz w:val="21"/>
                <w:szCs w:val="21"/>
              </w:rPr>
              <w:t>总磷的排放浓度满足苏环洋口港(南通)水务有限公司的接管要求</w:t>
            </w:r>
            <w:r>
              <w:rPr>
                <w:rFonts w:hint="default" w:ascii="Times New Roman" w:hAnsi="Times New Roman" w:eastAsia="仿宋" w:cs="Times New Roman"/>
                <w:color w:val="000000"/>
                <w:sz w:val="21"/>
                <w:szCs w:val="21"/>
              </w:rPr>
              <w:t>。</w:t>
            </w:r>
          </w:p>
        </w:tc>
        <w:tc>
          <w:tcPr>
            <w:tcW w:w="1717" w:type="dxa"/>
            <w:vAlign w:val="center"/>
          </w:tcPr>
          <w:p w14:paraId="4152020D">
            <w:pPr>
              <w:pStyle w:val="21"/>
              <w:jc w:val="both"/>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废水中各污染物的实际年排放总量低于本项目、全厂总量指标要求。</w:t>
            </w:r>
          </w:p>
        </w:tc>
      </w:tr>
      <w:tr w14:paraId="3BD01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Align w:val="center"/>
          </w:tcPr>
          <w:p w14:paraId="75A3E70F">
            <w:pPr>
              <w:pStyle w:val="21"/>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废气</w:t>
            </w:r>
          </w:p>
        </w:tc>
        <w:tc>
          <w:tcPr>
            <w:tcW w:w="6237" w:type="dxa"/>
            <w:vAlign w:val="center"/>
          </w:tcPr>
          <w:p w14:paraId="146BE356">
            <w:pPr>
              <w:pStyle w:val="21"/>
              <w:jc w:val="both"/>
              <w:rPr>
                <w:rFonts w:hint="default" w:ascii="Times New Roman" w:hAnsi="Times New Roman" w:eastAsia="仿宋" w:cs="Times New Roman"/>
                <w:color w:val="000000"/>
                <w:sz w:val="21"/>
                <w:szCs w:val="21"/>
              </w:rPr>
            </w:pPr>
            <w:r>
              <w:rPr>
                <w:rFonts w:hint="default" w:ascii="Times New Roman" w:hAnsi="Times New Roman" w:eastAsia="仿宋" w:cs="Times New Roman"/>
                <w:kern w:val="2"/>
                <w:sz w:val="21"/>
                <w:szCs w:val="21"/>
              </w:rPr>
              <w:t>监测数据表明，验收监测期间，项目生产过程中排放的非甲烷总烃、</w:t>
            </w:r>
            <w:r>
              <w:rPr>
                <w:rFonts w:hint="eastAsia" w:ascii="Times New Roman" w:eastAsia="仿宋" w:cs="Times New Roman"/>
                <w:kern w:val="2"/>
                <w:sz w:val="21"/>
                <w:szCs w:val="21"/>
                <w:lang w:eastAsia="zh-CN"/>
              </w:rPr>
              <w:t>*</w:t>
            </w:r>
            <w:r>
              <w:rPr>
                <w:rFonts w:hint="default" w:ascii="Times New Roman" w:hAnsi="Times New Roman" w:eastAsia="仿宋" w:cs="Times New Roman"/>
                <w:kern w:val="2"/>
                <w:sz w:val="21"/>
                <w:szCs w:val="21"/>
              </w:rPr>
              <w:t>的排放浓度和排放速率均满足《大气污染物综合排放标准》（DB32/4041-2021）标准中相关要求，氨、</w:t>
            </w:r>
            <w:r>
              <w:rPr>
                <w:rFonts w:hint="default" w:ascii="Times New Roman" w:hAnsi="Times New Roman" w:eastAsia="仿宋" w:cs="Times New Roman"/>
                <w:kern w:val="2"/>
                <w:sz w:val="21"/>
                <w:szCs w:val="21"/>
                <w:lang w:val="en-US" w:eastAsia="zh-CN"/>
              </w:rPr>
              <w:t>硫</w:t>
            </w:r>
            <w:r>
              <w:rPr>
                <w:rFonts w:hint="default" w:ascii="Times New Roman" w:hAnsi="Times New Roman" w:eastAsia="仿宋" w:cs="Times New Roman"/>
                <w:kern w:val="2"/>
                <w:sz w:val="21"/>
                <w:szCs w:val="21"/>
              </w:rPr>
              <w:t>化氢、臭气浓度</w:t>
            </w:r>
            <w:r>
              <w:rPr>
                <w:rFonts w:hint="default" w:ascii="Times New Roman" w:hAnsi="Times New Roman" w:eastAsia="仿宋" w:cs="Times New Roman"/>
                <w:kern w:val="2"/>
                <w:sz w:val="21"/>
                <w:szCs w:val="21"/>
                <w:lang w:val="en-US" w:eastAsia="zh-CN"/>
              </w:rPr>
              <w:t>满足</w:t>
            </w:r>
            <w:r>
              <w:rPr>
                <w:rFonts w:hint="default" w:ascii="Times New Roman" w:hAnsi="Times New Roman" w:eastAsia="仿宋" w:cs="Times New Roman"/>
                <w:kern w:val="2"/>
                <w:sz w:val="21"/>
                <w:szCs w:val="21"/>
              </w:rPr>
              <w:t>《恶臭污染物排放标准》(GB14554-93)</w:t>
            </w:r>
            <w:r>
              <w:rPr>
                <w:rFonts w:hint="default" w:ascii="Times New Roman" w:hAnsi="Times New Roman" w:eastAsia="仿宋" w:cs="Times New Roman"/>
                <w:kern w:val="2"/>
                <w:sz w:val="21"/>
                <w:szCs w:val="21"/>
                <w:lang w:val="en-US" w:eastAsia="zh-CN"/>
              </w:rPr>
              <w:t>相关限值要求</w:t>
            </w:r>
            <w:r>
              <w:rPr>
                <w:rFonts w:hint="default" w:ascii="Times New Roman" w:hAnsi="Times New Roman" w:eastAsia="仿宋" w:cs="Times New Roman"/>
                <w:kern w:val="2"/>
                <w:sz w:val="21"/>
                <w:szCs w:val="21"/>
                <w:lang w:eastAsia="zh-CN"/>
              </w:rPr>
              <w:t>，</w:t>
            </w:r>
            <w:r>
              <w:rPr>
                <w:rFonts w:hint="default" w:ascii="Times New Roman" w:hAnsi="Times New Roman" w:eastAsia="仿宋" w:cs="Times New Roman"/>
                <w:kern w:val="2"/>
                <w:sz w:val="21"/>
                <w:szCs w:val="21"/>
                <w:lang w:val="en-US" w:eastAsia="zh-CN"/>
              </w:rPr>
              <w:t>油雾</w:t>
            </w:r>
            <w:r>
              <w:rPr>
                <w:rFonts w:hint="default" w:ascii="Times New Roman" w:hAnsi="Times New Roman" w:eastAsia="仿宋" w:cs="Times New Roman"/>
                <w:kern w:val="2"/>
                <w:sz w:val="21"/>
                <w:szCs w:val="21"/>
              </w:rPr>
              <w:t>排放浓度满足《上海市大气污染物综合排放标准》（DB31 933-2015）表1中排放标准限值要求。</w:t>
            </w:r>
          </w:p>
        </w:tc>
        <w:tc>
          <w:tcPr>
            <w:tcW w:w="1717" w:type="dxa"/>
            <w:vAlign w:val="center"/>
          </w:tcPr>
          <w:p w14:paraId="7B99180F">
            <w:pPr>
              <w:pStyle w:val="21"/>
              <w:jc w:val="both"/>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废气中各污染物的实际年排放总量均低于本项目、全厂总量指标要求。</w:t>
            </w:r>
          </w:p>
        </w:tc>
      </w:tr>
      <w:tr w14:paraId="7E805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Align w:val="center"/>
          </w:tcPr>
          <w:p w14:paraId="59A3B9CD">
            <w:pPr>
              <w:pStyle w:val="21"/>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噪声</w:t>
            </w:r>
          </w:p>
        </w:tc>
        <w:tc>
          <w:tcPr>
            <w:tcW w:w="6237" w:type="dxa"/>
            <w:vAlign w:val="center"/>
          </w:tcPr>
          <w:p w14:paraId="4162E4D9">
            <w:pPr>
              <w:pStyle w:val="21"/>
              <w:jc w:val="both"/>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监测期间，各厂界噪声昼、夜等效连续A声级值均符合《工业企业厂界环境噪声排放标准》（GB12348-2008）3类标准。</w:t>
            </w:r>
          </w:p>
        </w:tc>
        <w:tc>
          <w:tcPr>
            <w:tcW w:w="1717" w:type="dxa"/>
            <w:vAlign w:val="center"/>
          </w:tcPr>
          <w:p w14:paraId="52A0D5AE">
            <w:pPr>
              <w:pStyle w:val="21"/>
              <w:ind w:firstLine="420" w:firstLineChars="20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25DA8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Align w:val="center"/>
          </w:tcPr>
          <w:p w14:paraId="7E54E3DC">
            <w:pPr>
              <w:pStyle w:val="21"/>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固废</w:t>
            </w:r>
          </w:p>
        </w:tc>
        <w:tc>
          <w:tcPr>
            <w:tcW w:w="6237" w:type="dxa"/>
            <w:vAlign w:val="center"/>
          </w:tcPr>
          <w:p w14:paraId="447EE4C6">
            <w:pPr>
              <w:spacing w:line="360" w:lineRule="exact"/>
              <w:ind w:left="0" w:leftChars="0" w:firstLine="0" w:firstLineChars="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本项目各类固体废弃物已分类收集委托处理、处置，具体情况见表4.1-7。</w:t>
            </w:r>
          </w:p>
        </w:tc>
        <w:tc>
          <w:tcPr>
            <w:tcW w:w="1717" w:type="dxa"/>
            <w:vAlign w:val="center"/>
          </w:tcPr>
          <w:p w14:paraId="52C73990">
            <w:pPr>
              <w:pStyle w:val="21"/>
              <w:ind w:firstLine="420" w:firstLineChars="20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r>
      <w:tr w14:paraId="405A4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tcBorders>
              <w:bottom w:val="single" w:color="auto" w:sz="12" w:space="0"/>
            </w:tcBorders>
            <w:vAlign w:val="center"/>
          </w:tcPr>
          <w:p w14:paraId="6C255B79">
            <w:pPr>
              <w:pStyle w:val="21"/>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验收监测结论</w:t>
            </w:r>
          </w:p>
        </w:tc>
        <w:tc>
          <w:tcPr>
            <w:tcW w:w="7954" w:type="dxa"/>
            <w:gridSpan w:val="2"/>
            <w:tcBorders>
              <w:bottom w:val="single" w:color="auto" w:sz="12" w:space="0"/>
            </w:tcBorders>
            <w:vAlign w:val="center"/>
          </w:tcPr>
          <w:p w14:paraId="089DC84B">
            <w:pPr>
              <w:pStyle w:val="15"/>
              <w:spacing w:line="360" w:lineRule="exact"/>
              <w:ind w:firstLine="420" w:firstLineChars="200"/>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lang w:eastAsia="zh-CN"/>
              </w:rPr>
              <w:t>江苏九州星际新材料有限公司</w:t>
            </w:r>
            <w:r>
              <w:rPr>
                <w:rFonts w:hint="default" w:ascii="Times New Roman" w:hAnsi="Times New Roman" w:eastAsia="仿宋" w:cs="Times New Roman"/>
                <w:color w:val="000000"/>
                <w:sz w:val="21"/>
                <w:szCs w:val="21"/>
                <w:lang w:val="en-US" w:eastAsia="zh-CN"/>
              </w:rPr>
              <w:t>二阶段车间五2784吨/年超高分子量聚乙烯纤维项目</w:t>
            </w:r>
            <w:r>
              <w:rPr>
                <w:rFonts w:hint="default" w:ascii="Times New Roman" w:hAnsi="Times New Roman" w:eastAsia="仿宋" w:cs="Times New Roman"/>
                <w:color w:val="000000"/>
                <w:sz w:val="21"/>
                <w:szCs w:val="21"/>
              </w:rPr>
              <w:t>已按国家有关建设项目环境管理法规的要求进行了环境影响评价，项目相应的环保设施与主体工程均已建成并投入使用。公司建立了环境保护管理网络，制定了相关环境管理制度和污染事故应急预案。</w:t>
            </w:r>
          </w:p>
          <w:p w14:paraId="1FBA9632">
            <w:pPr>
              <w:pStyle w:val="21"/>
              <w:ind w:firstLine="420" w:firstLineChars="200"/>
              <w:jc w:val="both"/>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验收监测期间，废气、废水污染物排放符合国家排放标准；厂界噪声达标，未产生扰民影响。废水、废气污染物排放量符合核定指标要求。各类固废已分类处置，各项环评批复要求基本落实。</w:t>
            </w:r>
          </w:p>
        </w:tc>
      </w:tr>
    </w:tbl>
    <w:p w14:paraId="526A3C8C">
      <w:pPr>
        <w:pStyle w:val="3"/>
        <w:spacing w:before="156" w:after="156"/>
        <w:ind w:firstLine="0" w:firstLineChars="0"/>
        <w:rPr>
          <w:rFonts w:hint="default" w:ascii="Times New Roman" w:hAnsi="Times New Roman" w:cs="Times New Roman"/>
          <w:color w:val="000000"/>
        </w:rPr>
      </w:pPr>
      <w:bookmarkStart w:id="152" w:name="_Toc520410282"/>
      <w:bookmarkStart w:id="153" w:name="_Toc5204556"/>
      <w:bookmarkStart w:id="154" w:name="_Toc31163"/>
      <w:r>
        <w:rPr>
          <w:rFonts w:hint="default" w:ascii="Times New Roman" w:hAnsi="Times New Roman" w:cs="Times New Roman"/>
          <w:color w:val="000000"/>
        </w:rPr>
        <w:t>11.2 建议</w:t>
      </w:r>
      <w:bookmarkEnd w:id="152"/>
      <w:bookmarkEnd w:id="153"/>
      <w:bookmarkEnd w:id="154"/>
    </w:p>
    <w:p w14:paraId="2F23DDBF">
      <w:pPr>
        <w:spacing w:line="480" w:lineRule="exact"/>
        <w:ind w:firstLine="560"/>
        <w:rPr>
          <w:rFonts w:hint="default" w:ascii="Times New Roman" w:hAnsi="Times New Roman" w:eastAsia="仿宋" w:cs="Times New Roman"/>
          <w:color w:val="000000"/>
          <w:shd w:val="clear" w:color="auto" w:fill="FFFFFF"/>
        </w:rPr>
      </w:pPr>
      <w:r>
        <w:rPr>
          <w:rFonts w:hint="default" w:ascii="Times New Roman" w:hAnsi="Times New Roman" w:eastAsia="仿宋" w:cs="Times New Roman"/>
          <w:color w:val="000000"/>
          <w:shd w:val="clear" w:color="auto" w:fill="FFFFFF"/>
        </w:rPr>
        <w:t>1、严格实行“雨污分流、清污分流”，加强雨水排口的监控和管理。</w:t>
      </w:r>
    </w:p>
    <w:p w14:paraId="5F661D81">
      <w:pPr>
        <w:spacing w:line="480" w:lineRule="exact"/>
        <w:ind w:firstLine="560"/>
        <w:rPr>
          <w:rFonts w:hint="default" w:ascii="Times New Roman" w:hAnsi="Times New Roman" w:eastAsia="仿宋" w:cs="Times New Roman"/>
          <w:color w:val="000000"/>
          <w:shd w:val="clear" w:color="auto" w:fill="FFFFFF"/>
        </w:rPr>
      </w:pPr>
      <w:r>
        <w:rPr>
          <w:rFonts w:hint="default" w:ascii="Times New Roman" w:hAnsi="Times New Roman" w:eastAsia="仿宋" w:cs="Times New Roman"/>
          <w:color w:val="000000"/>
          <w:shd w:val="clear" w:color="auto" w:fill="FFFFFF"/>
        </w:rPr>
        <w:t>2、</w:t>
      </w:r>
      <w:r>
        <w:rPr>
          <w:rFonts w:hint="default" w:ascii="Times New Roman" w:hAnsi="Times New Roman" w:eastAsia="仿宋" w:cs="Times New Roman"/>
          <w:color w:val="000000"/>
          <w:shd w:val="clear" w:color="auto" w:fill="FFFFFF"/>
          <w:lang w:val="en-US" w:eastAsia="zh-CN"/>
        </w:rPr>
        <w:t>对照苏环办〔2024〕16号文等规范要求加强危废仓库、一般固废的建设与管理</w:t>
      </w:r>
      <w:r>
        <w:rPr>
          <w:rFonts w:hint="default" w:ascii="Times New Roman" w:hAnsi="Times New Roman" w:eastAsia="仿宋" w:cs="Times New Roman"/>
          <w:color w:val="000000"/>
          <w:shd w:val="clear" w:color="auto" w:fill="FFFFFF"/>
        </w:rPr>
        <w:t>。</w:t>
      </w:r>
    </w:p>
    <w:p w14:paraId="53F00931">
      <w:pPr>
        <w:spacing w:line="480" w:lineRule="exact"/>
        <w:ind w:firstLine="560"/>
        <w:rPr>
          <w:rFonts w:hint="default" w:ascii="Times New Roman" w:hAnsi="Times New Roman" w:eastAsia="仿宋" w:cs="Times New Roman"/>
          <w:color w:val="000000"/>
          <w:shd w:val="clear" w:color="auto" w:fill="FFFFFF"/>
        </w:rPr>
      </w:pPr>
      <w:r>
        <w:rPr>
          <w:rFonts w:hint="default" w:ascii="Times New Roman" w:hAnsi="Times New Roman" w:eastAsia="仿宋" w:cs="Times New Roman"/>
          <w:color w:val="000000"/>
          <w:shd w:val="clear" w:color="auto" w:fill="FFFFFF"/>
        </w:rPr>
        <w:t>3、加强对各类废气处理设施的维护、管理，确保各类废气污染物稳定达标排放。</w:t>
      </w:r>
    </w:p>
    <w:p w14:paraId="71C558DC">
      <w:pPr>
        <w:spacing w:line="480" w:lineRule="exact"/>
        <w:ind w:firstLine="560"/>
        <w:rPr>
          <w:rFonts w:hint="default" w:ascii="Times New Roman" w:hAnsi="Times New Roman" w:eastAsia="仿宋" w:cs="Times New Roman"/>
          <w:color w:val="000000"/>
          <w:shd w:val="clear" w:color="auto" w:fill="FFFFFF"/>
        </w:rPr>
      </w:pPr>
      <w:r>
        <w:rPr>
          <w:rFonts w:hint="default" w:ascii="Times New Roman" w:hAnsi="Times New Roman" w:eastAsia="仿宋" w:cs="Times New Roman"/>
          <w:color w:val="000000"/>
          <w:shd w:val="clear" w:color="auto" w:fill="FFFFFF"/>
        </w:rPr>
        <w:t>4、严格落实环境风险应急预案中提出的各项风险防范措施，加强对各类化学品使用和贮运过程中的监控管理，防止污染事故的发生。</w:t>
      </w:r>
    </w:p>
    <w:p w14:paraId="410B1CFB">
      <w:pPr>
        <w:spacing w:line="480" w:lineRule="exact"/>
        <w:ind w:left="-22" w:leftChars="-8" w:firstLine="574" w:firstLineChars="205"/>
        <w:rPr>
          <w:rFonts w:hint="default" w:ascii="Times New Roman" w:hAnsi="Times New Roman" w:eastAsia="仿宋" w:cs="Times New Roman"/>
          <w:color w:val="000000"/>
          <w:shd w:val="clear" w:color="auto" w:fill="FFFFFF"/>
        </w:rPr>
        <w:sectPr>
          <w:pgSz w:w="11906" w:h="16838"/>
          <w:pgMar w:top="1440" w:right="1800" w:bottom="1440" w:left="1800" w:header="851" w:footer="992" w:gutter="0"/>
          <w:cols w:space="425" w:num="1"/>
          <w:docGrid w:type="lines" w:linePitch="381" w:charSpace="0"/>
        </w:sectPr>
      </w:pPr>
      <w:r>
        <w:rPr>
          <w:rFonts w:hint="default" w:ascii="Times New Roman" w:hAnsi="Times New Roman" w:eastAsia="仿宋" w:cs="Times New Roman"/>
          <w:color w:val="000000"/>
          <w:shd w:val="clear" w:color="auto" w:fill="FFFFFF"/>
        </w:rPr>
        <w:t>5、</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企业应关注废气设施运行，建立设施运行台账、碳纤维更换记录和活性炭更换记录，按照通环办〔2023〕115号文要求及时登记，确保满足管理要求和长期稳定达标排放</w:t>
      </w:r>
      <w:r>
        <w:rPr>
          <w:rFonts w:hint="default" w:ascii="Times New Roman" w:hAnsi="Times New Roman" w:eastAsia="仿宋" w:cs="Times New Roman"/>
          <w:color w:val="000000"/>
          <w:shd w:val="clear" w:color="auto" w:fill="FFFFFF"/>
        </w:rPr>
        <w:t>。</w:t>
      </w:r>
    </w:p>
    <w:p w14:paraId="4C1BFA81">
      <w:pPr>
        <w:pStyle w:val="2"/>
        <w:spacing w:before="381" w:after="381"/>
        <w:rPr>
          <w:rFonts w:hint="default" w:ascii="Times New Roman" w:hAnsi="Times New Roman" w:cs="Times New Roman"/>
          <w:color w:val="000000" w:themeColor="text1"/>
          <w14:textFill>
            <w14:solidFill>
              <w14:schemeClr w14:val="tx1"/>
            </w14:solidFill>
          </w14:textFill>
        </w:rPr>
      </w:pPr>
      <w:bookmarkStart w:id="155" w:name="_Toc520410283"/>
      <w:bookmarkStart w:id="156" w:name="_Toc5204557"/>
      <w:bookmarkStart w:id="157" w:name="_Toc7913"/>
      <w:r>
        <w:rPr>
          <w:rFonts w:hint="default" w:ascii="Times New Roman" w:hAnsi="Times New Roman" w:cs="Times New Roman"/>
          <w:color w:val="000000" w:themeColor="text1"/>
          <w14:textFill>
            <w14:solidFill>
              <w14:schemeClr w14:val="tx1"/>
            </w14:solidFill>
          </w14:textFill>
        </w:rPr>
        <w:t>12  建设项目环境保护“三同时”竣工验收登记表</w:t>
      </w:r>
      <w:bookmarkEnd w:id="155"/>
      <w:bookmarkEnd w:id="156"/>
      <w:bookmarkEnd w:id="157"/>
    </w:p>
    <w:p w14:paraId="548E9321">
      <w:pPr>
        <w:spacing w:line="300" w:lineRule="exact"/>
        <w:ind w:left="-916" w:leftChars="-327" w:right="-1697" w:rightChars="-606" w:firstLine="703" w:firstLineChars="250"/>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涉密删除。</w:t>
      </w:r>
      <w:bookmarkStart w:id="158" w:name="_GoBack"/>
      <w:bookmarkEnd w:id="158"/>
    </w:p>
    <w:sectPr>
      <w:pgSz w:w="23814" w:h="16839" w:orient="landscape"/>
      <w:pgMar w:top="1800" w:right="1440" w:bottom="1800" w:left="1440" w:header="851" w:footer="992"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522AB">
    <w:pPr>
      <w:pStyle w:val="18"/>
      <w:ind w:firstLine="4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34</w:t>
    </w:r>
    <w:r>
      <w:rPr>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8A1AC">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9C82F">
    <w:pPr>
      <w:pStyle w:val="1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19531">
    <w:pPr>
      <w:pStyle w:val="1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E8DEA">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E20BC">
    <w:pPr>
      <w:pStyle w:val="19"/>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CA6EC1"/>
    <w:multiLevelType w:val="singleLevel"/>
    <w:tmpl w:val="80CA6EC1"/>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0"/>
  <w:bordersDoNotSurroundFooter w:val="0"/>
  <w:hideSpellingErrors/>
  <w:documentProtection w:enforcement="0"/>
  <w:defaultTabStop w:val="420"/>
  <w:doNotHyphenateCaps/>
  <w:drawingGridHorizontalSpacing w:val="140"/>
  <w:drawingGridVerticalSpacing w:val="198"/>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2F"/>
    <w:rsid w:val="000003F8"/>
    <w:rsid w:val="000012A2"/>
    <w:rsid w:val="00001621"/>
    <w:rsid w:val="00002459"/>
    <w:rsid w:val="00002B46"/>
    <w:rsid w:val="00003367"/>
    <w:rsid w:val="000034E9"/>
    <w:rsid w:val="00003C6C"/>
    <w:rsid w:val="0000440C"/>
    <w:rsid w:val="000046BD"/>
    <w:rsid w:val="0000562E"/>
    <w:rsid w:val="00005910"/>
    <w:rsid w:val="00005FBA"/>
    <w:rsid w:val="0000614C"/>
    <w:rsid w:val="00007505"/>
    <w:rsid w:val="00007CED"/>
    <w:rsid w:val="000104C3"/>
    <w:rsid w:val="000112A4"/>
    <w:rsid w:val="00013599"/>
    <w:rsid w:val="00014939"/>
    <w:rsid w:val="0001498E"/>
    <w:rsid w:val="000149EF"/>
    <w:rsid w:val="00016247"/>
    <w:rsid w:val="000202FA"/>
    <w:rsid w:val="000204C3"/>
    <w:rsid w:val="000207AC"/>
    <w:rsid w:val="00020F84"/>
    <w:rsid w:val="000210D1"/>
    <w:rsid w:val="000217E8"/>
    <w:rsid w:val="000218BD"/>
    <w:rsid w:val="00022049"/>
    <w:rsid w:val="000223C6"/>
    <w:rsid w:val="00023B63"/>
    <w:rsid w:val="00023DCD"/>
    <w:rsid w:val="00024838"/>
    <w:rsid w:val="00025E6B"/>
    <w:rsid w:val="0002633D"/>
    <w:rsid w:val="000265A0"/>
    <w:rsid w:val="000277D1"/>
    <w:rsid w:val="0002794E"/>
    <w:rsid w:val="0002796D"/>
    <w:rsid w:val="0003056B"/>
    <w:rsid w:val="00030642"/>
    <w:rsid w:val="000309D4"/>
    <w:rsid w:val="000312CF"/>
    <w:rsid w:val="000327AB"/>
    <w:rsid w:val="00032B3F"/>
    <w:rsid w:val="00032CD5"/>
    <w:rsid w:val="00033224"/>
    <w:rsid w:val="00033F85"/>
    <w:rsid w:val="000348C0"/>
    <w:rsid w:val="00037035"/>
    <w:rsid w:val="000371EF"/>
    <w:rsid w:val="0003781B"/>
    <w:rsid w:val="00037DC8"/>
    <w:rsid w:val="00040F46"/>
    <w:rsid w:val="00041C61"/>
    <w:rsid w:val="00042CF0"/>
    <w:rsid w:val="00043159"/>
    <w:rsid w:val="00043ABA"/>
    <w:rsid w:val="00043BFE"/>
    <w:rsid w:val="00044118"/>
    <w:rsid w:val="00044CB5"/>
    <w:rsid w:val="00045034"/>
    <w:rsid w:val="0004583C"/>
    <w:rsid w:val="00045E47"/>
    <w:rsid w:val="0004618D"/>
    <w:rsid w:val="00046508"/>
    <w:rsid w:val="00046F8D"/>
    <w:rsid w:val="00050A60"/>
    <w:rsid w:val="0005110D"/>
    <w:rsid w:val="000515C2"/>
    <w:rsid w:val="00051A85"/>
    <w:rsid w:val="00052084"/>
    <w:rsid w:val="000521C0"/>
    <w:rsid w:val="00053640"/>
    <w:rsid w:val="00054C13"/>
    <w:rsid w:val="000557DB"/>
    <w:rsid w:val="00055E53"/>
    <w:rsid w:val="000576D6"/>
    <w:rsid w:val="000600EC"/>
    <w:rsid w:val="0006050A"/>
    <w:rsid w:val="00060A69"/>
    <w:rsid w:val="00061AFB"/>
    <w:rsid w:val="00062084"/>
    <w:rsid w:val="00065546"/>
    <w:rsid w:val="000669B5"/>
    <w:rsid w:val="00066DE4"/>
    <w:rsid w:val="00067E0F"/>
    <w:rsid w:val="0007053E"/>
    <w:rsid w:val="00070776"/>
    <w:rsid w:val="00071282"/>
    <w:rsid w:val="000727BB"/>
    <w:rsid w:val="00073877"/>
    <w:rsid w:val="0007505D"/>
    <w:rsid w:val="000754C5"/>
    <w:rsid w:val="0007551D"/>
    <w:rsid w:val="00077730"/>
    <w:rsid w:val="00077A8F"/>
    <w:rsid w:val="00077DF1"/>
    <w:rsid w:val="00080060"/>
    <w:rsid w:val="000801CE"/>
    <w:rsid w:val="0008041E"/>
    <w:rsid w:val="000811DC"/>
    <w:rsid w:val="00082A86"/>
    <w:rsid w:val="00082BAA"/>
    <w:rsid w:val="00082EE1"/>
    <w:rsid w:val="0008309D"/>
    <w:rsid w:val="000845F6"/>
    <w:rsid w:val="00084E31"/>
    <w:rsid w:val="00085445"/>
    <w:rsid w:val="000856BC"/>
    <w:rsid w:val="00085BD3"/>
    <w:rsid w:val="000869C3"/>
    <w:rsid w:val="00086DB8"/>
    <w:rsid w:val="00086E25"/>
    <w:rsid w:val="00087993"/>
    <w:rsid w:val="00090D6E"/>
    <w:rsid w:val="00091C0C"/>
    <w:rsid w:val="00091DEF"/>
    <w:rsid w:val="00091FC0"/>
    <w:rsid w:val="0009277D"/>
    <w:rsid w:val="00092DFD"/>
    <w:rsid w:val="00092E57"/>
    <w:rsid w:val="000939F2"/>
    <w:rsid w:val="00094247"/>
    <w:rsid w:val="000942C7"/>
    <w:rsid w:val="00094833"/>
    <w:rsid w:val="00095821"/>
    <w:rsid w:val="000966FE"/>
    <w:rsid w:val="000967F5"/>
    <w:rsid w:val="00096914"/>
    <w:rsid w:val="00096BD4"/>
    <w:rsid w:val="000978E7"/>
    <w:rsid w:val="000A0549"/>
    <w:rsid w:val="000A0D77"/>
    <w:rsid w:val="000A0EEC"/>
    <w:rsid w:val="000A1D53"/>
    <w:rsid w:val="000A3043"/>
    <w:rsid w:val="000A31E6"/>
    <w:rsid w:val="000A3DFF"/>
    <w:rsid w:val="000A4230"/>
    <w:rsid w:val="000A42C4"/>
    <w:rsid w:val="000A4346"/>
    <w:rsid w:val="000A48B6"/>
    <w:rsid w:val="000A6035"/>
    <w:rsid w:val="000A74AF"/>
    <w:rsid w:val="000A74C2"/>
    <w:rsid w:val="000A75D2"/>
    <w:rsid w:val="000A776B"/>
    <w:rsid w:val="000A777A"/>
    <w:rsid w:val="000A7F74"/>
    <w:rsid w:val="000B0C32"/>
    <w:rsid w:val="000B1947"/>
    <w:rsid w:val="000B29CA"/>
    <w:rsid w:val="000B2B2D"/>
    <w:rsid w:val="000B2F33"/>
    <w:rsid w:val="000B356A"/>
    <w:rsid w:val="000B384F"/>
    <w:rsid w:val="000B4629"/>
    <w:rsid w:val="000B4E78"/>
    <w:rsid w:val="000B52DC"/>
    <w:rsid w:val="000B5DB1"/>
    <w:rsid w:val="000B6E6B"/>
    <w:rsid w:val="000B7D90"/>
    <w:rsid w:val="000B7E57"/>
    <w:rsid w:val="000B7FDB"/>
    <w:rsid w:val="000C0BFE"/>
    <w:rsid w:val="000C0FCF"/>
    <w:rsid w:val="000C1AEA"/>
    <w:rsid w:val="000C211D"/>
    <w:rsid w:val="000C237C"/>
    <w:rsid w:val="000C36E8"/>
    <w:rsid w:val="000C3D42"/>
    <w:rsid w:val="000C3E6D"/>
    <w:rsid w:val="000C3FB1"/>
    <w:rsid w:val="000C44B2"/>
    <w:rsid w:val="000C44D6"/>
    <w:rsid w:val="000C49BE"/>
    <w:rsid w:val="000C4A96"/>
    <w:rsid w:val="000C5C17"/>
    <w:rsid w:val="000C5E24"/>
    <w:rsid w:val="000C5EE1"/>
    <w:rsid w:val="000C639A"/>
    <w:rsid w:val="000C725A"/>
    <w:rsid w:val="000C72B3"/>
    <w:rsid w:val="000C7FF1"/>
    <w:rsid w:val="000D0149"/>
    <w:rsid w:val="000D093E"/>
    <w:rsid w:val="000D2C08"/>
    <w:rsid w:val="000D3309"/>
    <w:rsid w:val="000D37DE"/>
    <w:rsid w:val="000D3AB5"/>
    <w:rsid w:val="000D3C70"/>
    <w:rsid w:val="000D411A"/>
    <w:rsid w:val="000D418A"/>
    <w:rsid w:val="000D54E4"/>
    <w:rsid w:val="000D5BE6"/>
    <w:rsid w:val="000D5DA1"/>
    <w:rsid w:val="000D654D"/>
    <w:rsid w:val="000E002D"/>
    <w:rsid w:val="000E05D0"/>
    <w:rsid w:val="000E1903"/>
    <w:rsid w:val="000E1FCB"/>
    <w:rsid w:val="000E2158"/>
    <w:rsid w:val="000E240C"/>
    <w:rsid w:val="000E41A6"/>
    <w:rsid w:val="000E5FE9"/>
    <w:rsid w:val="000E6BCB"/>
    <w:rsid w:val="000E78FD"/>
    <w:rsid w:val="000F1338"/>
    <w:rsid w:val="000F1E41"/>
    <w:rsid w:val="000F1E59"/>
    <w:rsid w:val="000F27AA"/>
    <w:rsid w:val="000F31B5"/>
    <w:rsid w:val="000F3942"/>
    <w:rsid w:val="000F459C"/>
    <w:rsid w:val="000F521A"/>
    <w:rsid w:val="000F676F"/>
    <w:rsid w:val="000F76D3"/>
    <w:rsid w:val="000F7B74"/>
    <w:rsid w:val="00100A52"/>
    <w:rsid w:val="00100C45"/>
    <w:rsid w:val="001010EA"/>
    <w:rsid w:val="00101E5B"/>
    <w:rsid w:val="00103F15"/>
    <w:rsid w:val="001040C4"/>
    <w:rsid w:val="001054BC"/>
    <w:rsid w:val="0010560F"/>
    <w:rsid w:val="00105F46"/>
    <w:rsid w:val="001067E6"/>
    <w:rsid w:val="00106C3B"/>
    <w:rsid w:val="00106DFE"/>
    <w:rsid w:val="00107BC5"/>
    <w:rsid w:val="001102B5"/>
    <w:rsid w:val="00110529"/>
    <w:rsid w:val="00110556"/>
    <w:rsid w:val="00111091"/>
    <w:rsid w:val="0011194A"/>
    <w:rsid w:val="00111AF2"/>
    <w:rsid w:val="00112676"/>
    <w:rsid w:val="001133D9"/>
    <w:rsid w:val="00113C56"/>
    <w:rsid w:val="00115539"/>
    <w:rsid w:val="00115B24"/>
    <w:rsid w:val="0011706F"/>
    <w:rsid w:val="001179C1"/>
    <w:rsid w:val="0012005B"/>
    <w:rsid w:val="0012010D"/>
    <w:rsid w:val="00120D25"/>
    <w:rsid w:val="001215A8"/>
    <w:rsid w:val="001217E7"/>
    <w:rsid w:val="0012199E"/>
    <w:rsid w:val="00125278"/>
    <w:rsid w:val="001252D9"/>
    <w:rsid w:val="00125E24"/>
    <w:rsid w:val="00125F93"/>
    <w:rsid w:val="00126012"/>
    <w:rsid w:val="001262E3"/>
    <w:rsid w:val="0012683D"/>
    <w:rsid w:val="001308CC"/>
    <w:rsid w:val="001312C9"/>
    <w:rsid w:val="00131D98"/>
    <w:rsid w:val="00133528"/>
    <w:rsid w:val="00133803"/>
    <w:rsid w:val="00133BFE"/>
    <w:rsid w:val="00133FD8"/>
    <w:rsid w:val="00134467"/>
    <w:rsid w:val="00134A7F"/>
    <w:rsid w:val="00135F28"/>
    <w:rsid w:val="001367B8"/>
    <w:rsid w:val="0013686A"/>
    <w:rsid w:val="00136CF9"/>
    <w:rsid w:val="0013770D"/>
    <w:rsid w:val="00137EDA"/>
    <w:rsid w:val="00140C68"/>
    <w:rsid w:val="001414F1"/>
    <w:rsid w:val="00142149"/>
    <w:rsid w:val="00143968"/>
    <w:rsid w:val="00144380"/>
    <w:rsid w:val="00144B16"/>
    <w:rsid w:val="00144D83"/>
    <w:rsid w:val="001453CC"/>
    <w:rsid w:val="00145431"/>
    <w:rsid w:val="001458FD"/>
    <w:rsid w:val="001465A2"/>
    <w:rsid w:val="00146A8B"/>
    <w:rsid w:val="00147871"/>
    <w:rsid w:val="00147EAB"/>
    <w:rsid w:val="0015029B"/>
    <w:rsid w:val="00150CF5"/>
    <w:rsid w:val="00151624"/>
    <w:rsid w:val="001516A2"/>
    <w:rsid w:val="00151A9C"/>
    <w:rsid w:val="00151CF6"/>
    <w:rsid w:val="00152166"/>
    <w:rsid w:val="001537A2"/>
    <w:rsid w:val="0015393D"/>
    <w:rsid w:val="00153D3D"/>
    <w:rsid w:val="0015461C"/>
    <w:rsid w:val="001548A8"/>
    <w:rsid w:val="00154AFF"/>
    <w:rsid w:val="00154EF2"/>
    <w:rsid w:val="00155339"/>
    <w:rsid w:val="001555CA"/>
    <w:rsid w:val="0015629A"/>
    <w:rsid w:val="00156DF5"/>
    <w:rsid w:val="001602BA"/>
    <w:rsid w:val="0016046A"/>
    <w:rsid w:val="001622C0"/>
    <w:rsid w:val="001623E9"/>
    <w:rsid w:val="001623F7"/>
    <w:rsid w:val="001638C8"/>
    <w:rsid w:val="001658CE"/>
    <w:rsid w:val="00166083"/>
    <w:rsid w:val="001670B1"/>
    <w:rsid w:val="00167A10"/>
    <w:rsid w:val="001701C3"/>
    <w:rsid w:val="0017067C"/>
    <w:rsid w:val="00170BE2"/>
    <w:rsid w:val="00171123"/>
    <w:rsid w:val="0017235B"/>
    <w:rsid w:val="00172CD3"/>
    <w:rsid w:val="0017335C"/>
    <w:rsid w:val="0017339F"/>
    <w:rsid w:val="00173729"/>
    <w:rsid w:val="001737F5"/>
    <w:rsid w:val="00173B30"/>
    <w:rsid w:val="00173EC3"/>
    <w:rsid w:val="00174472"/>
    <w:rsid w:val="00176022"/>
    <w:rsid w:val="00176DC2"/>
    <w:rsid w:val="001779C0"/>
    <w:rsid w:val="001819F4"/>
    <w:rsid w:val="00181D79"/>
    <w:rsid w:val="00182289"/>
    <w:rsid w:val="00183568"/>
    <w:rsid w:val="001836FC"/>
    <w:rsid w:val="00184788"/>
    <w:rsid w:val="00184E7B"/>
    <w:rsid w:val="001856C2"/>
    <w:rsid w:val="00185B3D"/>
    <w:rsid w:val="0018645D"/>
    <w:rsid w:val="001867C1"/>
    <w:rsid w:val="00187FFB"/>
    <w:rsid w:val="001906C9"/>
    <w:rsid w:val="00190F1E"/>
    <w:rsid w:val="00192230"/>
    <w:rsid w:val="00192E46"/>
    <w:rsid w:val="001937BD"/>
    <w:rsid w:val="00193E78"/>
    <w:rsid w:val="00193F95"/>
    <w:rsid w:val="0019467E"/>
    <w:rsid w:val="001946CA"/>
    <w:rsid w:val="00194C18"/>
    <w:rsid w:val="00196874"/>
    <w:rsid w:val="001973AD"/>
    <w:rsid w:val="00197818"/>
    <w:rsid w:val="001A0D11"/>
    <w:rsid w:val="001A15EE"/>
    <w:rsid w:val="001A1777"/>
    <w:rsid w:val="001A2519"/>
    <w:rsid w:val="001A4D65"/>
    <w:rsid w:val="001A5938"/>
    <w:rsid w:val="001A5E4F"/>
    <w:rsid w:val="001A656A"/>
    <w:rsid w:val="001A6684"/>
    <w:rsid w:val="001A6714"/>
    <w:rsid w:val="001A6C07"/>
    <w:rsid w:val="001A6C19"/>
    <w:rsid w:val="001A77A6"/>
    <w:rsid w:val="001A7E19"/>
    <w:rsid w:val="001A7E26"/>
    <w:rsid w:val="001B0366"/>
    <w:rsid w:val="001B0AA1"/>
    <w:rsid w:val="001B0D1F"/>
    <w:rsid w:val="001B0DE8"/>
    <w:rsid w:val="001B238C"/>
    <w:rsid w:val="001B37E7"/>
    <w:rsid w:val="001B38E8"/>
    <w:rsid w:val="001B40B9"/>
    <w:rsid w:val="001B43B8"/>
    <w:rsid w:val="001B4428"/>
    <w:rsid w:val="001B4E17"/>
    <w:rsid w:val="001B5CF8"/>
    <w:rsid w:val="001B7832"/>
    <w:rsid w:val="001B78CF"/>
    <w:rsid w:val="001B7EEC"/>
    <w:rsid w:val="001C0BCF"/>
    <w:rsid w:val="001C1D53"/>
    <w:rsid w:val="001C2737"/>
    <w:rsid w:val="001C2BBC"/>
    <w:rsid w:val="001C3060"/>
    <w:rsid w:val="001C31B0"/>
    <w:rsid w:val="001C33A5"/>
    <w:rsid w:val="001C3685"/>
    <w:rsid w:val="001C3968"/>
    <w:rsid w:val="001C54B6"/>
    <w:rsid w:val="001C582A"/>
    <w:rsid w:val="001C5A34"/>
    <w:rsid w:val="001C5ADA"/>
    <w:rsid w:val="001C5CDB"/>
    <w:rsid w:val="001C5FFE"/>
    <w:rsid w:val="001C7F15"/>
    <w:rsid w:val="001D11EA"/>
    <w:rsid w:val="001D1852"/>
    <w:rsid w:val="001D33C7"/>
    <w:rsid w:val="001D3E75"/>
    <w:rsid w:val="001D4825"/>
    <w:rsid w:val="001D52B9"/>
    <w:rsid w:val="001D5D96"/>
    <w:rsid w:val="001D5F1F"/>
    <w:rsid w:val="001D60CC"/>
    <w:rsid w:val="001D6474"/>
    <w:rsid w:val="001D6C17"/>
    <w:rsid w:val="001D6D5F"/>
    <w:rsid w:val="001D7BA3"/>
    <w:rsid w:val="001E277F"/>
    <w:rsid w:val="001E2B39"/>
    <w:rsid w:val="001E4310"/>
    <w:rsid w:val="001E4C57"/>
    <w:rsid w:val="001E508F"/>
    <w:rsid w:val="001E79B6"/>
    <w:rsid w:val="001F0175"/>
    <w:rsid w:val="001F0AD7"/>
    <w:rsid w:val="001F14F6"/>
    <w:rsid w:val="001F1CFF"/>
    <w:rsid w:val="001F2908"/>
    <w:rsid w:val="001F2FEA"/>
    <w:rsid w:val="001F458B"/>
    <w:rsid w:val="001F4698"/>
    <w:rsid w:val="001F4858"/>
    <w:rsid w:val="001F4B2C"/>
    <w:rsid w:val="001F5A47"/>
    <w:rsid w:val="001F5B26"/>
    <w:rsid w:val="001F5E6D"/>
    <w:rsid w:val="001F6DFD"/>
    <w:rsid w:val="001F7197"/>
    <w:rsid w:val="001F72F1"/>
    <w:rsid w:val="001F7599"/>
    <w:rsid w:val="00200308"/>
    <w:rsid w:val="00200906"/>
    <w:rsid w:val="00200ECC"/>
    <w:rsid w:val="002013BF"/>
    <w:rsid w:val="00201FBC"/>
    <w:rsid w:val="00202872"/>
    <w:rsid w:val="00202981"/>
    <w:rsid w:val="00203015"/>
    <w:rsid w:val="00203132"/>
    <w:rsid w:val="00203432"/>
    <w:rsid w:val="00203C27"/>
    <w:rsid w:val="00203E30"/>
    <w:rsid w:val="00204136"/>
    <w:rsid w:val="002046BC"/>
    <w:rsid w:val="00204770"/>
    <w:rsid w:val="0020483A"/>
    <w:rsid w:val="00205CDC"/>
    <w:rsid w:val="00205D5C"/>
    <w:rsid w:val="0020646A"/>
    <w:rsid w:val="00206AD6"/>
    <w:rsid w:val="00207A85"/>
    <w:rsid w:val="00207C97"/>
    <w:rsid w:val="00210040"/>
    <w:rsid w:val="0021181A"/>
    <w:rsid w:val="00211864"/>
    <w:rsid w:val="00212820"/>
    <w:rsid w:val="00212AB7"/>
    <w:rsid w:val="002153BC"/>
    <w:rsid w:val="00215741"/>
    <w:rsid w:val="002160C4"/>
    <w:rsid w:val="00216A00"/>
    <w:rsid w:val="0021713F"/>
    <w:rsid w:val="002172EE"/>
    <w:rsid w:val="0022067B"/>
    <w:rsid w:val="00220A66"/>
    <w:rsid w:val="00221111"/>
    <w:rsid w:val="00222774"/>
    <w:rsid w:val="0022280F"/>
    <w:rsid w:val="0022299B"/>
    <w:rsid w:val="00222BB2"/>
    <w:rsid w:val="0022334B"/>
    <w:rsid w:val="00223512"/>
    <w:rsid w:val="00223820"/>
    <w:rsid w:val="00224ACA"/>
    <w:rsid w:val="00224B65"/>
    <w:rsid w:val="00225077"/>
    <w:rsid w:val="0022652E"/>
    <w:rsid w:val="00226973"/>
    <w:rsid w:val="00226A0E"/>
    <w:rsid w:val="00230600"/>
    <w:rsid w:val="002309FE"/>
    <w:rsid w:val="00231812"/>
    <w:rsid w:val="0023191C"/>
    <w:rsid w:val="0023234B"/>
    <w:rsid w:val="002325C8"/>
    <w:rsid w:val="002326A1"/>
    <w:rsid w:val="002327A4"/>
    <w:rsid w:val="0023286F"/>
    <w:rsid w:val="00232D60"/>
    <w:rsid w:val="00232E4F"/>
    <w:rsid w:val="002331DF"/>
    <w:rsid w:val="002333D7"/>
    <w:rsid w:val="002342C3"/>
    <w:rsid w:val="002345FF"/>
    <w:rsid w:val="002347B6"/>
    <w:rsid w:val="002347FC"/>
    <w:rsid w:val="002362A0"/>
    <w:rsid w:val="002375BE"/>
    <w:rsid w:val="0023788B"/>
    <w:rsid w:val="00237A5C"/>
    <w:rsid w:val="00240FCB"/>
    <w:rsid w:val="002412BE"/>
    <w:rsid w:val="00241760"/>
    <w:rsid w:val="00241F49"/>
    <w:rsid w:val="00241F83"/>
    <w:rsid w:val="0024319E"/>
    <w:rsid w:val="00243554"/>
    <w:rsid w:val="00243611"/>
    <w:rsid w:val="00243D3C"/>
    <w:rsid w:val="002453F7"/>
    <w:rsid w:val="00245ABB"/>
    <w:rsid w:val="00246E40"/>
    <w:rsid w:val="00247091"/>
    <w:rsid w:val="002472DC"/>
    <w:rsid w:val="0025197B"/>
    <w:rsid w:val="002527C1"/>
    <w:rsid w:val="00252985"/>
    <w:rsid w:val="0025372C"/>
    <w:rsid w:val="00253858"/>
    <w:rsid w:val="00253B65"/>
    <w:rsid w:val="00255D82"/>
    <w:rsid w:val="00255F45"/>
    <w:rsid w:val="002561FE"/>
    <w:rsid w:val="002562CC"/>
    <w:rsid w:val="00257239"/>
    <w:rsid w:val="002578A2"/>
    <w:rsid w:val="0026043D"/>
    <w:rsid w:val="0026174A"/>
    <w:rsid w:val="0026200A"/>
    <w:rsid w:val="00263C49"/>
    <w:rsid w:val="00263EEB"/>
    <w:rsid w:val="00265677"/>
    <w:rsid w:val="00265CC6"/>
    <w:rsid w:val="00265D66"/>
    <w:rsid w:val="00266758"/>
    <w:rsid w:val="00266988"/>
    <w:rsid w:val="002700FC"/>
    <w:rsid w:val="00271E16"/>
    <w:rsid w:val="00273277"/>
    <w:rsid w:val="00273B98"/>
    <w:rsid w:val="0027409A"/>
    <w:rsid w:val="002741D2"/>
    <w:rsid w:val="0027457B"/>
    <w:rsid w:val="00276CA9"/>
    <w:rsid w:val="00277BBC"/>
    <w:rsid w:val="00280D25"/>
    <w:rsid w:val="00282156"/>
    <w:rsid w:val="0028243C"/>
    <w:rsid w:val="00282471"/>
    <w:rsid w:val="002828FC"/>
    <w:rsid w:val="00282AF7"/>
    <w:rsid w:val="0028305F"/>
    <w:rsid w:val="0028466B"/>
    <w:rsid w:val="00284AD2"/>
    <w:rsid w:val="0028525E"/>
    <w:rsid w:val="00285A74"/>
    <w:rsid w:val="00285B01"/>
    <w:rsid w:val="00285EF3"/>
    <w:rsid w:val="00286EAC"/>
    <w:rsid w:val="00290E46"/>
    <w:rsid w:val="00291754"/>
    <w:rsid w:val="00292B67"/>
    <w:rsid w:val="002939B2"/>
    <w:rsid w:val="0029480C"/>
    <w:rsid w:val="00294B0F"/>
    <w:rsid w:val="00294FE9"/>
    <w:rsid w:val="002957B1"/>
    <w:rsid w:val="002964F1"/>
    <w:rsid w:val="002965E6"/>
    <w:rsid w:val="00296C15"/>
    <w:rsid w:val="00297C9D"/>
    <w:rsid w:val="00297DAD"/>
    <w:rsid w:val="002A0011"/>
    <w:rsid w:val="002A03B2"/>
    <w:rsid w:val="002A1259"/>
    <w:rsid w:val="002A14A6"/>
    <w:rsid w:val="002A24A3"/>
    <w:rsid w:val="002A26E2"/>
    <w:rsid w:val="002A2F6C"/>
    <w:rsid w:val="002A30F5"/>
    <w:rsid w:val="002A4032"/>
    <w:rsid w:val="002A43AC"/>
    <w:rsid w:val="002A4E5E"/>
    <w:rsid w:val="002A54C2"/>
    <w:rsid w:val="002A6CE2"/>
    <w:rsid w:val="002A6D7E"/>
    <w:rsid w:val="002A71FF"/>
    <w:rsid w:val="002A7DC5"/>
    <w:rsid w:val="002A7EAD"/>
    <w:rsid w:val="002B0B65"/>
    <w:rsid w:val="002B0C1E"/>
    <w:rsid w:val="002B1255"/>
    <w:rsid w:val="002B2F93"/>
    <w:rsid w:val="002B340C"/>
    <w:rsid w:val="002B35E1"/>
    <w:rsid w:val="002B3A4F"/>
    <w:rsid w:val="002B3C76"/>
    <w:rsid w:val="002B3E1E"/>
    <w:rsid w:val="002B4FD1"/>
    <w:rsid w:val="002B5E95"/>
    <w:rsid w:val="002B66B3"/>
    <w:rsid w:val="002C06DC"/>
    <w:rsid w:val="002C10D0"/>
    <w:rsid w:val="002C1219"/>
    <w:rsid w:val="002C2025"/>
    <w:rsid w:val="002C2F89"/>
    <w:rsid w:val="002C37DC"/>
    <w:rsid w:val="002C3C95"/>
    <w:rsid w:val="002C3CC4"/>
    <w:rsid w:val="002C41C7"/>
    <w:rsid w:val="002C44C5"/>
    <w:rsid w:val="002C49A9"/>
    <w:rsid w:val="002C49D7"/>
    <w:rsid w:val="002C5A72"/>
    <w:rsid w:val="002C5D0E"/>
    <w:rsid w:val="002C7F78"/>
    <w:rsid w:val="002D1101"/>
    <w:rsid w:val="002D1136"/>
    <w:rsid w:val="002D1679"/>
    <w:rsid w:val="002D1769"/>
    <w:rsid w:val="002D17F2"/>
    <w:rsid w:val="002D1E37"/>
    <w:rsid w:val="002D3244"/>
    <w:rsid w:val="002D33C4"/>
    <w:rsid w:val="002D3B33"/>
    <w:rsid w:val="002D48CD"/>
    <w:rsid w:val="002D64DB"/>
    <w:rsid w:val="002D670F"/>
    <w:rsid w:val="002D70AF"/>
    <w:rsid w:val="002D7320"/>
    <w:rsid w:val="002E02D5"/>
    <w:rsid w:val="002E171B"/>
    <w:rsid w:val="002E1D0A"/>
    <w:rsid w:val="002E2598"/>
    <w:rsid w:val="002E2C2D"/>
    <w:rsid w:val="002E33F7"/>
    <w:rsid w:val="002E3E75"/>
    <w:rsid w:val="002E41F1"/>
    <w:rsid w:val="002E4733"/>
    <w:rsid w:val="002E4F5F"/>
    <w:rsid w:val="002E5EC4"/>
    <w:rsid w:val="002E65F8"/>
    <w:rsid w:val="002E6756"/>
    <w:rsid w:val="002F04E5"/>
    <w:rsid w:val="002F0C28"/>
    <w:rsid w:val="002F1CA3"/>
    <w:rsid w:val="002F236A"/>
    <w:rsid w:val="002F2A5F"/>
    <w:rsid w:val="002F5812"/>
    <w:rsid w:val="002F595D"/>
    <w:rsid w:val="002F5BBE"/>
    <w:rsid w:val="002F6B12"/>
    <w:rsid w:val="002F7B88"/>
    <w:rsid w:val="0030030A"/>
    <w:rsid w:val="00300826"/>
    <w:rsid w:val="00300B9E"/>
    <w:rsid w:val="00300BFC"/>
    <w:rsid w:val="00300C81"/>
    <w:rsid w:val="00300F65"/>
    <w:rsid w:val="00301A5F"/>
    <w:rsid w:val="00304795"/>
    <w:rsid w:val="00304B15"/>
    <w:rsid w:val="00304DC1"/>
    <w:rsid w:val="00306856"/>
    <w:rsid w:val="003070DB"/>
    <w:rsid w:val="00307AD3"/>
    <w:rsid w:val="0031105D"/>
    <w:rsid w:val="0031130B"/>
    <w:rsid w:val="003113A2"/>
    <w:rsid w:val="003116D5"/>
    <w:rsid w:val="0031208C"/>
    <w:rsid w:val="003120D8"/>
    <w:rsid w:val="00312510"/>
    <w:rsid w:val="0031264A"/>
    <w:rsid w:val="00312E03"/>
    <w:rsid w:val="0031327E"/>
    <w:rsid w:val="00313955"/>
    <w:rsid w:val="00313E3C"/>
    <w:rsid w:val="00314A96"/>
    <w:rsid w:val="00314C24"/>
    <w:rsid w:val="00315C62"/>
    <w:rsid w:val="0031635F"/>
    <w:rsid w:val="003163D4"/>
    <w:rsid w:val="003169E0"/>
    <w:rsid w:val="00316DE4"/>
    <w:rsid w:val="003171AF"/>
    <w:rsid w:val="003203C8"/>
    <w:rsid w:val="0032125B"/>
    <w:rsid w:val="00322034"/>
    <w:rsid w:val="00322911"/>
    <w:rsid w:val="00322C08"/>
    <w:rsid w:val="00323099"/>
    <w:rsid w:val="003237EB"/>
    <w:rsid w:val="003241A9"/>
    <w:rsid w:val="00324287"/>
    <w:rsid w:val="00325037"/>
    <w:rsid w:val="00325E1D"/>
    <w:rsid w:val="00326B87"/>
    <w:rsid w:val="003307EA"/>
    <w:rsid w:val="00330898"/>
    <w:rsid w:val="00331018"/>
    <w:rsid w:val="003311E9"/>
    <w:rsid w:val="00331290"/>
    <w:rsid w:val="00332073"/>
    <w:rsid w:val="003327D6"/>
    <w:rsid w:val="00332973"/>
    <w:rsid w:val="003329D4"/>
    <w:rsid w:val="003340BD"/>
    <w:rsid w:val="00334C9A"/>
    <w:rsid w:val="0033501C"/>
    <w:rsid w:val="00335942"/>
    <w:rsid w:val="00335E62"/>
    <w:rsid w:val="003370BA"/>
    <w:rsid w:val="003376B8"/>
    <w:rsid w:val="003379C5"/>
    <w:rsid w:val="003417C3"/>
    <w:rsid w:val="00343C43"/>
    <w:rsid w:val="0034481E"/>
    <w:rsid w:val="00344C35"/>
    <w:rsid w:val="003460A1"/>
    <w:rsid w:val="00346B2B"/>
    <w:rsid w:val="00351243"/>
    <w:rsid w:val="003517E1"/>
    <w:rsid w:val="00352236"/>
    <w:rsid w:val="003529FC"/>
    <w:rsid w:val="00352CFE"/>
    <w:rsid w:val="00353BC3"/>
    <w:rsid w:val="003549DE"/>
    <w:rsid w:val="00355101"/>
    <w:rsid w:val="003557C2"/>
    <w:rsid w:val="00356F07"/>
    <w:rsid w:val="0035730B"/>
    <w:rsid w:val="00360EA8"/>
    <w:rsid w:val="0036196D"/>
    <w:rsid w:val="00361B35"/>
    <w:rsid w:val="00361E89"/>
    <w:rsid w:val="00362349"/>
    <w:rsid w:val="003629A7"/>
    <w:rsid w:val="00363183"/>
    <w:rsid w:val="003633D4"/>
    <w:rsid w:val="00363E69"/>
    <w:rsid w:val="003642E6"/>
    <w:rsid w:val="003647BA"/>
    <w:rsid w:val="00364A8A"/>
    <w:rsid w:val="00364CC1"/>
    <w:rsid w:val="0036666C"/>
    <w:rsid w:val="00366842"/>
    <w:rsid w:val="0036744D"/>
    <w:rsid w:val="00372576"/>
    <w:rsid w:val="0037261C"/>
    <w:rsid w:val="003729F9"/>
    <w:rsid w:val="00372BB7"/>
    <w:rsid w:val="00375F2B"/>
    <w:rsid w:val="00376053"/>
    <w:rsid w:val="003769B7"/>
    <w:rsid w:val="00376CF8"/>
    <w:rsid w:val="00376EB4"/>
    <w:rsid w:val="00376F49"/>
    <w:rsid w:val="0037712B"/>
    <w:rsid w:val="00377226"/>
    <w:rsid w:val="0037783C"/>
    <w:rsid w:val="003802B0"/>
    <w:rsid w:val="0038049C"/>
    <w:rsid w:val="00382EF8"/>
    <w:rsid w:val="003833E4"/>
    <w:rsid w:val="00383590"/>
    <w:rsid w:val="003843CE"/>
    <w:rsid w:val="00384936"/>
    <w:rsid w:val="0038507A"/>
    <w:rsid w:val="00385FFF"/>
    <w:rsid w:val="00386DA9"/>
    <w:rsid w:val="00387F41"/>
    <w:rsid w:val="00390285"/>
    <w:rsid w:val="003902CA"/>
    <w:rsid w:val="00390534"/>
    <w:rsid w:val="003909B4"/>
    <w:rsid w:val="003911FF"/>
    <w:rsid w:val="00391AE8"/>
    <w:rsid w:val="00392452"/>
    <w:rsid w:val="003927C4"/>
    <w:rsid w:val="003941E9"/>
    <w:rsid w:val="00395053"/>
    <w:rsid w:val="003951CB"/>
    <w:rsid w:val="0039601A"/>
    <w:rsid w:val="00396988"/>
    <w:rsid w:val="0039760B"/>
    <w:rsid w:val="0039761C"/>
    <w:rsid w:val="00397626"/>
    <w:rsid w:val="003A18C2"/>
    <w:rsid w:val="003A1B99"/>
    <w:rsid w:val="003A2456"/>
    <w:rsid w:val="003A27F2"/>
    <w:rsid w:val="003A2912"/>
    <w:rsid w:val="003A29A1"/>
    <w:rsid w:val="003A2CE6"/>
    <w:rsid w:val="003A3357"/>
    <w:rsid w:val="003A3ADD"/>
    <w:rsid w:val="003A3E32"/>
    <w:rsid w:val="003A4351"/>
    <w:rsid w:val="003A5095"/>
    <w:rsid w:val="003A5463"/>
    <w:rsid w:val="003A5518"/>
    <w:rsid w:val="003A5B09"/>
    <w:rsid w:val="003A682A"/>
    <w:rsid w:val="003B0DE5"/>
    <w:rsid w:val="003B150E"/>
    <w:rsid w:val="003B1703"/>
    <w:rsid w:val="003B2219"/>
    <w:rsid w:val="003B282F"/>
    <w:rsid w:val="003B3B89"/>
    <w:rsid w:val="003B3CB2"/>
    <w:rsid w:val="003B3D76"/>
    <w:rsid w:val="003B59DE"/>
    <w:rsid w:val="003B6ABF"/>
    <w:rsid w:val="003B73CC"/>
    <w:rsid w:val="003C0455"/>
    <w:rsid w:val="003C060A"/>
    <w:rsid w:val="003C0845"/>
    <w:rsid w:val="003C0BC8"/>
    <w:rsid w:val="003C0D1C"/>
    <w:rsid w:val="003C10F4"/>
    <w:rsid w:val="003C17B6"/>
    <w:rsid w:val="003C1948"/>
    <w:rsid w:val="003C28E6"/>
    <w:rsid w:val="003C2DA5"/>
    <w:rsid w:val="003C2FCE"/>
    <w:rsid w:val="003C31CA"/>
    <w:rsid w:val="003C3A83"/>
    <w:rsid w:val="003C41B8"/>
    <w:rsid w:val="003C4E6C"/>
    <w:rsid w:val="003C5178"/>
    <w:rsid w:val="003C5317"/>
    <w:rsid w:val="003C5A59"/>
    <w:rsid w:val="003C722E"/>
    <w:rsid w:val="003C7C38"/>
    <w:rsid w:val="003D044C"/>
    <w:rsid w:val="003D0614"/>
    <w:rsid w:val="003D0C4D"/>
    <w:rsid w:val="003D1578"/>
    <w:rsid w:val="003D1611"/>
    <w:rsid w:val="003D2929"/>
    <w:rsid w:val="003D2EDB"/>
    <w:rsid w:val="003D34F2"/>
    <w:rsid w:val="003D3BBC"/>
    <w:rsid w:val="003D3CCF"/>
    <w:rsid w:val="003D40FD"/>
    <w:rsid w:val="003D41BC"/>
    <w:rsid w:val="003D4877"/>
    <w:rsid w:val="003D4C17"/>
    <w:rsid w:val="003D5CD4"/>
    <w:rsid w:val="003D6B3B"/>
    <w:rsid w:val="003D6CD8"/>
    <w:rsid w:val="003D7055"/>
    <w:rsid w:val="003D7E6B"/>
    <w:rsid w:val="003E05E4"/>
    <w:rsid w:val="003E11C7"/>
    <w:rsid w:val="003E148A"/>
    <w:rsid w:val="003E1C19"/>
    <w:rsid w:val="003E1E65"/>
    <w:rsid w:val="003E2B4E"/>
    <w:rsid w:val="003E597E"/>
    <w:rsid w:val="003E60E8"/>
    <w:rsid w:val="003E69CB"/>
    <w:rsid w:val="003E6F94"/>
    <w:rsid w:val="003E7385"/>
    <w:rsid w:val="003E77B6"/>
    <w:rsid w:val="003E7F8F"/>
    <w:rsid w:val="003E7FD5"/>
    <w:rsid w:val="003F01C1"/>
    <w:rsid w:val="003F08C8"/>
    <w:rsid w:val="003F12EB"/>
    <w:rsid w:val="003F1ADF"/>
    <w:rsid w:val="003F1CD1"/>
    <w:rsid w:val="003F22CD"/>
    <w:rsid w:val="003F3D6B"/>
    <w:rsid w:val="003F41A4"/>
    <w:rsid w:val="003F495E"/>
    <w:rsid w:val="003F78A1"/>
    <w:rsid w:val="0040025E"/>
    <w:rsid w:val="00400DCA"/>
    <w:rsid w:val="0040154A"/>
    <w:rsid w:val="00401CBE"/>
    <w:rsid w:val="00401F1B"/>
    <w:rsid w:val="004020FC"/>
    <w:rsid w:val="004025F8"/>
    <w:rsid w:val="00402721"/>
    <w:rsid w:val="004032D6"/>
    <w:rsid w:val="004050BD"/>
    <w:rsid w:val="00405639"/>
    <w:rsid w:val="00405648"/>
    <w:rsid w:val="00405967"/>
    <w:rsid w:val="004059E9"/>
    <w:rsid w:val="00406045"/>
    <w:rsid w:val="00407DA8"/>
    <w:rsid w:val="00407DAA"/>
    <w:rsid w:val="0041043A"/>
    <w:rsid w:val="004108C5"/>
    <w:rsid w:val="00410A60"/>
    <w:rsid w:val="00410AD9"/>
    <w:rsid w:val="004121B7"/>
    <w:rsid w:val="00412B99"/>
    <w:rsid w:val="00412D31"/>
    <w:rsid w:val="00413930"/>
    <w:rsid w:val="00413FD5"/>
    <w:rsid w:val="0041429C"/>
    <w:rsid w:val="004148AE"/>
    <w:rsid w:val="004158E9"/>
    <w:rsid w:val="004162E0"/>
    <w:rsid w:val="0041665A"/>
    <w:rsid w:val="0041689E"/>
    <w:rsid w:val="00420083"/>
    <w:rsid w:val="004218A3"/>
    <w:rsid w:val="00421B02"/>
    <w:rsid w:val="00421F29"/>
    <w:rsid w:val="004235F5"/>
    <w:rsid w:val="00423613"/>
    <w:rsid w:val="00423696"/>
    <w:rsid w:val="004236F7"/>
    <w:rsid w:val="004243CC"/>
    <w:rsid w:val="004244BE"/>
    <w:rsid w:val="004254A6"/>
    <w:rsid w:val="004263CD"/>
    <w:rsid w:val="0042665A"/>
    <w:rsid w:val="00426FC1"/>
    <w:rsid w:val="00430938"/>
    <w:rsid w:val="00430C3D"/>
    <w:rsid w:val="00430E56"/>
    <w:rsid w:val="00431224"/>
    <w:rsid w:val="00431475"/>
    <w:rsid w:val="00431E57"/>
    <w:rsid w:val="00431FBD"/>
    <w:rsid w:val="00432444"/>
    <w:rsid w:val="004335B3"/>
    <w:rsid w:val="00433966"/>
    <w:rsid w:val="00434956"/>
    <w:rsid w:val="00435ECE"/>
    <w:rsid w:val="004367BF"/>
    <w:rsid w:val="00436926"/>
    <w:rsid w:val="00436BA4"/>
    <w:rsid w:val="00437F24"/>
    <w:rsid w:val="0044051E"/>
    <w:rsid w:val="0044075A"/>
    <w:rsid w:val="004409C7"/>
    <w:rsid w:val="0044161D"/>
    <w:rsid w:val="004418DB"/>
    <w:rsid w:val="00441DC5"/>
    <w:rsid w:val="004421F0"/>
    <w:rsid w:val="00442DBB"/>
    <w:rsid w:val="004434FE"/>
    <w:rsid w:val="004446D8"/>
    <w:rsid w:val="00444D40"/>
    <w:rsid w:val="00445C0E"/>
    <w:rsid w:val="00446990"/>
    <w:rsid w:val="00446A6B"/>
    <w:rsid w:val="004473EA"/>
    <w:rsid w:val="00447AF1"/>
    <w:rsid w:val="004505F0"/>
    <w:rsid w:val="00450AD6"/>
    <w:rsid w:val="00451D0B"/>
    <w:rsid w:val="004522AE"/>
    <w:rsid w:val="00452B89"/>
    <w:rsid w:val="004535E6"/>
    <w:rsid w:val="0045379F"/>
    <w:rsid w:val="004539B4"/>
    <w:rsid w:val="004544D2"/>
    <w:rsid w:val="00455731"/>
    <w:rsid w:val="00460230"/>
    <w:rsid w:val="004611FA"/>
    <w:rsid w:val="0046122C"/>
    <w:rsid w:val="004613C4"/>
    <w:rsid w:val="00461AF6"/>
    <w:rsid w:val="00461CCD"/>
    <w:rsid w:val="00462FD8"/>
    <w:rsid w:val="00463310"/>
    <w:rsid w:val="00463F3C"/>
    <w:rsid w:val="00464B43"/>
    <w:rsid w:val="00464D9E"/>
    <w:rsid w:val="00465559"/>
    <w:rsid w:val="004656F6"/>
    <w:rsid w:val="00466045"/>
    <w:rsid w:val="00466A60"/>
    <w:rsid w:val="00466FC3"/>
    <w:rsid w:val="00467CBE"/>
    <w:rsid w:val="004710A1"/>
    <w:rsid w:val="00473061"/>
    <w:rsid w:val="00473349"/>
    <w:rsid w:val="004737FE"/>
    <w:rsid w:val="00473A2D"/>
    <w:rsid w:val="00473D62"/>
    <w:rsid w:val="00474EA2"/>
    <w:rsid w:val="00475468"/>
    <w:rsid w:val="0047548C"/>
    <w:rsid w:val="00475EAA"/>
    <w:rsid w:val="004763AC"/>
    <w:rsid w:val="00476750"/>
    <w:rsid w:val="00477EF5"/>
    <w:rsid w:val="00480C5F"/>
    <w:rsid w:val="00480E58"/>
    <w:rsid w:val="00481740"/>
    <w:rsid w:val="00482499"/>
    <w:rsid w:val="00482CB6"/>
    <w:rsid w:val="004836B5"/>
    <w:rsid w:val="00484731"/>
    <w:rsid w:val="00484FF7"/>
    <w:rsid w:val="0048511B"/>
    <w:rsid w:val="00486764"/>
    <w:rsid w:val="0048683D"/>
    <w:rsid w:val="0048694C"/>
    <w:rsid w:val="00487454"/>
    <w:rsid w:val="00487C50"/>
    <w:rsid w:val="004901DA"/>
    <w:rsid w:val="00490887"/>
    <w:rsid w:val="00491FD1"/>
    <w:rsid w:val="00492C86"/>
    <w:rsid w:val="00493135"/>
    <w:rsid w:val="00493E59"/>
    <w:rsid w:val="0049410B"/>
    <w:rsid w:val="00494313"/>
    <w:rsid w:val="004951E9"/>
    <w:rsid w:val="004971E3"/>
    <w:rsid w:val="004A0364"/>
    <w:rsid w:val="004A0C73"/>
    <w:rsid w:val="004A20C0"/>
    <w:rsid w:val="004A251E"/>
    <w:rsid w:val="004A2B7C"/>
    <w:rsid w:val="004A2DEE"/>
    <w:rsid w:val="004A38D0"/>
    <w:rsid w:val="004A3CD2"/>
    <w:rsid w:val="004A44CF"/>
    <w:rsid w:val="004A4947"/>
    <w:rsid w:val="004A600D"/>
    <w:rsid w:val="004A61AF"/>
    <w:rsid w:val="004A61CB"/>
    <w:rsid w:val="004A61E2"/>
    <w:rsid w:val="004A6455"/>
    <w:rsid w:val="004A65FC"/>
    <w:rsid w:val="004A6C4C"/>
    <w:rsid w:val="004A6D9C"/>
    <w:rsid w:val="004A6F7D"/>
    <w:rsid w:val="004A7B3A"/>
    <w:rsid w:val="004A7FF9"/>
    <w:rsid w:val="004B06A2"/>
    <w:rsid w:val="004B075D"/>
    <w:rsid w:val="004B0B0C"/>
    <w:rsid w:val="004B158E"/>
    <w:rsid w:val="004B186A"/>
    <w:rsid w:val="004B1887"/>
    <w:rsid w:val="004B27FA"/>
    <w:rsid w:val="004B3131"/>
    <w:rsid w:val="004B39AA"/>
    <w:rsid w:val="004B4553"/>
    <w:rsid w:val="004B460F"/>
    <w:rsid w:val="004B488F"/>
    <w:rsid w:val="004B5234"/>
    <w:rsid w:val="004B55CE"/>
    <w:rsid w:val="004B5B35"/>
    <w:rsid w:val="004B61B1"/>
    <w:rsid w:val="004B65D6"/>
    <w:rsid w:val="004B69AC"/>
    <w:rsid w:val="004B6BC4"/>
    <w:rsid w:val="004B7000"/>
    <w:rsid w:val="004B7022"/>
    <w:rsid w:val="004C0D7B"/>
    <w:rsid w:val="004C0FD6"/>
    <w:rsid w:val="004C22A2"/>
    <w:rsid w:val="004C44AE"/>
    <w:rsid w:val="004C5E95"/>
    <w:rsid w:val="004D047D"/>
    <w:rsid w:val="004D0638"/>
    <w:rsid w:val="004D10F2"/>
    <w:rsid w:val="004D10F5"/>
    <w:rsid w:val="004D1574"/>
    <w:rsid w:val="004D1E55"/>
    <w:rsid w:val="004D22D9"/>
    <w:rsid w:val="004D285C"/>
    <w:rsid w:val="004D29FA"/>
    <w:rsid w:val="004D2B04"/>
    <w:rsid w:val="004D2E5F"/>
    <w:rsid w:val="004D3BC5"/>
    <w:rsid w:val="004D462C"/>
    <w:rsid w:val="004D4E98"/>
    <w:rsid w:val="004D5538"/>
    <w:rsid w:val="004D571D"/>
    <w:rsid w:val="004D5AEB"/>
    <w:rsid w:val="004D5D8E"/>
    <w:rsid w:val="004D6C51"/>
    <w:rsid w:val="004D6E01"/>
    <w:rsid w:val="004D724F"/>
    <w:rsid w:val="004E0B50"/>
    <w:rsid w:val="004E0EE0"/>
    <w:rsid w:val="004E0F92"/>
    <w:rsid w:val="004E10D6"/>
    <w:rsid w:val="004E15D9"/>
    <w:rsid w:val="004E1735"/>
    <w:rsid w:val="004E2015"/>
    <w:rsid w:val="004E29DE"/>
    <w:rsid w:val="004E2A1B"/>
    <w:rsid w:val="004E2C0B"/>
    <w:rsid w:val="004E3535"/>
    <w:rsid w:val="004E3A7F"/>
    <w:rsid w:val="004E3AA7"/>
    <w:rsid w:val="004E4941"/>
    <w:rsid w:val="004E5581"/>
    <w:rsid w:val="004E5618"/>
    <w:rsid w:val="004E5E52"/>
    <w:rsid w:val="004E655B"/>
    <w:rsid w:val="004E77AE"/>
    <w:rsid w:val="004E7E8F"/>
    <w:rsid w:val="004F01A3"/>
    <w:rsid w:val="004F0894"/>
    <w:rsid w:val="004F11AA"/>
    <w:rsid w:val="004F1780"/>
    <w:rsid w:val="004F17D5"/>
    <w:rsid w:val="004F452C"/>
    <w:rsid w:val="004F4B36"/>
    <w:rsid w:val="004F6A43"/>
    <w:rsid w:val="004F6B56"/>
    <w:rsid w:val="004F705D"/>
    <w:rsid w:val="005002AF"/>
    <w:rsid w:val="00500D79"/>
    <w:rsid w:val="005014B3"/>
    <w:rsid w:val="00501645"/>
    <w:rsid w:val="00501D5F"/>
    <w:rsid w:val="00501EC7"/>
    <w:rsid w:val="005020FB"/>
    <w:rsid w:val="005029D3"/>
    <w:rsid w:val="00503744"/>
    <w:rsid w:val="00505844"/>
    <w:rsid w:val="00506962"/>
    <w:rsid w:val="0051184E"/>
    <w:rsid w:val="00511FFC"/>
    <w:rsid w:val="00512D58"/>
    <w:rsid w:val="00513051"/>
    <w:rsid w:val="00513A7A"/>
    <w:rsid w:val="00514089"/>
    <w:rsid w:val="005142F0"/>
    <w:rsid w:val="005153A6"/>
    <w:rsid w:val="0051606B"/>
    <w:rsid w:val="005167B5"/>
    <w:rsid w:val="00517702"/>
    <w:rsid w:val="0051787B"/>
    <w:rsid w:val="00517AC5"/>
    <w:rsid w:val="0052132D"/>
    <w:rsid w:val="00521C24"/>
    <w:rsid w:val="00522314"/>
    <w:rsid w:val="00522498"/>
    <w:rsid w:val="00522A5B"/>
    <w:rsid w:val="00522F6E"/>
    <w:rsid w:val="00523086"/>
    <w:rsid w:val="00523C03"/>
    <w:rsid w:val="00523C8B"/>
    <w:rsid w:val="005241C9"/>
    <w:rsid w:val="00524EA5"/>
    <w:rsid w:val="005263EC"/>
    <w:rsid w:val="005275DE"/>
    <w:rsid w:val="005301A4"/>
    <w:rsid w:val="00531212"/>
    <w:rsid w:val="00531448"/>
    <w:rsid w:val="005327C1"/>
    <w:rsid w:val="00532C47"/>
    <w:rsid w:val="005330B9"/>
    <w:rsid w:val="00533234"/>
    <w:rsid w:val="005336D2"/>
    <w:rsid w:val="00534CC5"/>
    <w:rsid w:val="00534F22"/>
    <w:rsid w:val="00535409"/>
    <w:rsid w:val="00535ED4"/>
    <w:rsid w:val="005360E0"/>
    <w:rsid w:val="00536497"/>
    <w:rsid w:val="00536826"/>
    <w:rsid w:val="005370F8"/>
    <w:rsid w:val="00537E3D"/>
    <w:rsid w:val="005402FD"/>
    <w:rsid w:val="0054050C"/>
    <w:rsid w:val="0054066B"/>
    <w:rsid w:val="00540A66"/>
    <w:rsid w:val="00540FC0"/>
    <w:rsid w:val="00541E9D"/>
    <w:rsid w:val="005427E6"/>
    <w:rsid w:val="00542BB6"/>
    <w:rsid w:val="00543850"/>
    <w:rsid w:val="00543DA8"/>
    <w:rsid w:val="00545047"/>
    <w:rsid w:val="0054543F"/>
    <w:rsid w:val="00546062"/>
    <w:rsid w:val="00546AF3"/>
    <w:rsid w:val="00546B8B"/>
    <w:rsid w:val="00546BB0"/>
    <w:rsid w:val="00546F4A"/>
    <w:rsid w:val="00547061"/>
    <w:rsid w:val="005472F4"/>
    <w:rsid w:val="00547AD3"/>
    <w:rsid w:val="00550E93"/>
    <w:rsid w:val="00550FDA"/>
    <w:rsid w:val="005518F5"/>
    <w:rsid w:val="00551DDA"/>
    <w:rsid w:val="00551FC1"/>
    <w:rsid w:val="005528EB"/>
    <w:rsid w:val="00552E81"/>
    <w:rsid w:val="0055321F"/>
    <w:rsid w:val="00553336"/>
    <w:rsid w:val="00553949"/>
    <w:rsid w:val="00553EFA"/>
    <w:rsid w:val="005547EE"/>
    <w:rsid w:val="005549DA"/>
    <w:rsid w:val="005557E9"/>
    <w:rsid w:val="00556819"/>
    <w:rsid w:val="005569E8"/>
    <w:rsid w:val="0055711C"/>
    <w:rsid w:val="00557513"/>
    <w:rsid w:val="005605CE"/>
    <w:rsid w:val="00561186"/>
    <w:rsid w:val="00561423"/>
    <w:rsid w:val="00561BB2"/>
    <w:rsid w:val="005623BF"/>
    <w:rsid w:val="00562A04"/>
    <w:rsid w:val="00562A1F"/>
    <w:rsid w:val="0056393B"/>
    <w:rsid w:val="005656AA"/>
    <w:rsid w:val="00566AEE"/>
    <w:rsid w:val="00566C4D"/>
    <w:rsid w:val="00567EDC"/>
    <w:rsid w:val="005704E5"/>
    <w:rsid w:val="0057137D"/>
    <w:rsid w:val="00571697"/>
    <w:rsid w:val="005719D4"/>
    <w:rsid w:val="00571D64"/>
    <w:rsid w:val="00571E16"/>
    <w:rsid w:val="0057203B"/>
    <w:rsid w:val="0057230F"/>
    <w:rsid w:val="00572EE3"/>
    <w:rsid w:val="005747D7"/>
    <w:rsid w:val="005747ED"/>
    <w:rsid w:val="00575475"/>
    <w:rsid w:val="005768A0"/>
    <w:rsid w:val="005770DC"/>
    <w:rsid w:val="00577117"/>
    <w:rsid w:val="00580C56"/>
    <w:rsid w:val="0058133C"/>
    <w:rsid w:val="005820EB"/>
    <w:rsid w:val="00582396"/>
    <w:rsid w:val="0058297B"/>
    <w:rsid w:val="00582D9E"/>
    <w:rsid w:val="00583196"/>
    <w:rsid w:val="00583BC8"/>
    <w:rsid w:val="00585341"/>
    <w:rsid w:val="00585CC9"/>
    <w:rsid w:val="00587640"/>
    <w:rsid w:val="00590179"/>
    <w:rsid w:val="005908E6"/>
    <w:rsid w:val="00590EE8"/>
    <w:rsid w:val="0059143B"/>
    <w:rsid w:val="0059322C"/>
    <w:rsid w:val="005934B2"/>
    <w:rsid w:val="00593A4E"/>
    <w:rsid w:val="0059511F"/>
    <w:rsid w:val="0059522B"/>
    <w:rsid w:val="005959D8"/>
    <w:rsid w:val="00595D93"/>
    <w:rsid w:val="005A0330"/>
    <w:rsid w:val="005A1468"/>
    <w:rsid w:val="005A2ECF"/>
    <w:rsid w:val="005A2EEE"/>
    <w:rsid w:val="005A36A8"/>
    <w:rsid w:val="005A40D7"/>
    <w:rsid w:val="005A46C9"/>
    <w:rsid w:val="005A5B14"/>
    <w:rsid w:val="005A6183"/>
    <w:rsid w:val="005A62B5"/>
    <w:rsid w:val="005A62CD"/>
    <w:rsid w:val="005A6572"/>
    <w:rsid w:val="005A65B8"/>
    <w:rsid w:val="005A6A40"/>
    <w:rsid w:val="005A6FEC"/>
    <w:rsid w:val="005A743C"/>
    <w:rsid w:val="005A7605"/>
    <w:rsid w:val="005A7E42"/>
    <w:rsid w:val="005A7FDA"/>
    <w:rsid w:val="005B0D05"/>
    <w:rsid w:val="005B1875"/>
    <w:rsid w:val="005B1935"/>
    <w:rsid w:val="005B1C65"/>
    <w:rsid w:val="005B23B9"/>
    <w:rsid w:val="005B24A7"/>
    <w:rsid w:val="005B25F6"/>
    <w:rsid w:val="005B27CA"/>
    <w:rsid w:val="005B316B"/>
    <w:rsid w:val="005B33F2"/>
    <w:rsid w:val="005B346A"/>
    <w:rsid w:val="005B3CC3"/>
    <w:rsid w:val="005B41D1"/>
    <w:rsid w:val="005B47E7"/>
    <w:rsid w:val="005B4C2C"/>
    <w:rsid w:val="005B4E21"/>
    <w:rsid w:val="005B62B7"/>
    <w:rsid w:val="005B6664"/>
    <w:rsid w:val="005B668D"/>
    <w:rsid w:val="005B6BC9"/>
    <w:rsid w:val="005B6DE7"/>
    <w:rsid w:val="005B74DD"/>
    <w:rsid w:val="005B76B4"/>
    <w:rsid w:val="005B7A3A"/>
    <w:rsid w:val="005C013D"/>
    <w:rsid w:val="005C0285"/>
    <w:rsid w:val="005C1176"/>
    <w:rsid w:val="005C1196"/>
    <w:rsid w:val="005C236B"/>
    <w:rsid w:val="005C2966"/>
    <w:rsid w:val="005C2A64"/>
    <w:rsid w:val="005C2FFB"/>
    <w:rsid w:val="005C32DD"/>
    <w:rsid w:val="005C3E7B"/>
    <w:rsid w:val="005C4C77"/>
    <w:rsid w:val="005C5386"/>
    <w:rsid w:val="005C5462"/>
    <w:rsid w:val="005C6065"/>
    <w:rsid w:val="005C6DAC"/>
    <w:rsid w:val="005C7248"/>
    <w:rsid w:val="005C78DF"/>
    <w:rsid w:val="005C7C4A"/>
    <w:rsid w:val="005D030B"/>
    <w:rsid w:val="005D2087"/>
    <w:rsid w:val="005D2561"/>
    <w:rsid w:val="005D27A4"/>
    <w:rsid w:val="005D3BAB"/>
    <w:rsid w:val="005D3BEC"/>
    <w:rsid w:val="005D3E26"/>
    <w:rsid w:val="005D487F"/>
    <w:rsid w:val="005D4C54"/>
    <w:rsid w:val="005D5624"/>
    <w:rsid w:val="005D5D2E"/>
    <w:rsid w:val="005D622D"/>
    <w:rsid w:val="005D6C9B"/>
    <w:rsid w:val="005D6E70"/>
    <w:rsid w:val="005E0577"/>
    <w:rsid w:val="005E150C"/>
    <w:rsid w:val="005E23C3"/>
    <w:rsid w:val="005E3920"/>
    <w:rsid w:val="005E5A49"/>
    <w:rsid w:val="005E5B42"/>
    <w:rsid w:val="005E60D2"/>
    <w:rsid w:val="005E6A65"/>
    <w:rsid w:val="005E734C"/>
    <w:rsid w:val="005E773C"/>
    <w:rsid w:val="005E7890"/>
    <w:rsid w:val="005F0164"/>
    <w:rsid w:val="005F02C6"/>
    <w:rsid w:val="005F0E40"/>
    <w:rsid w:val="005F1805"/>
    <w:rsid w:val="005F1FCB"/>
    <w:rsid w:val="005F3F0E"/>
    <w:rsid w:val="005F464B"/>
    <w:rsid w:val="005F4879"/>
    <w:rsid w:val="005F56E7"/>
    <w:rsid w:val="005F5F58"/>
    <w:rsid w:val="005F6199"/>
    <w:rsid w:val="005F6D70"/>
    <w:rsid w:val="005F7086"/>
    <w:rsid w:val="005F7904"/>
    <w:rsid w:val="006007D7"/>
    <w:rsid w:val="0060184E"/>
    <w:rsid w:val="00601FF9"/>
    <w:rsid w:val="00602089"/>
    <w:rsid w:val="006022AC"/>
    <w:rsid w:val="00602ED3"/>
    <w:rsid w:val="006037D6"/>
    <w:rsid w:val="00603C9E"/>
    <w:rsid w:val="00603D1F"/>
    <w:rsid w:val="006050E9"/>
    <w:rsid w:val="00605970"/>
    <w:rsid w:val="00606021"/>
    <w:rsid w:val="00607612"/>
    <w:rsid w:val="00607BBD"/>
    <w:rsid w:val="00607F04"/>
    <w:rsid w:val="006101B9"/>
    <w:rsid w:val="00610A1D"/>
    <w:rsid w:val="006115D1"/>
    <w:rsid w:val="006118CA"/>
    <w:rsid w:val="00611E81"/>
    <w:rsid w:val="00611F1F"/>
    <w:rsid w:val="0061244D"/>
    <w:rsid w:val="006131EF"/>
    <w:rsid w:val="006136F6"/>
    <w:rsid w:val="00613DF3"/>
    <w:rsid w:val="00614B4A"/>
    <w:rsid w:val="0061585B"/>
    <w:rsid w:val="00616A87"/>
    <w:rsid w:val="00616CF6"/>
    <w:rsid w:val="00616F05"/>
    <w:rsid w:val="00617B29"/>
    <w:rsid w:val="006205CC"/>
    <w:rsid w:val="00622BA2"/>
    <w:rsid w:val="00623500"/>
    <w:rsid w:val="0062351D"/>
    <w:rsid w:val="006245B8"/>
    <w:rsid w:val="00624D25"/>
    <w:rsid w:val="0062542B"/>
    <w:rsid w:val="00625D20"/>
    <w:rsid w:val="006260F6"/>
    <w:rsid w:val="00626579"/>
    <w:rsid w:val="00626EFB"/>
    <w:rsid w:val="00627655"/>
    <w:rsid w:val="00630A37"/>
    <w:rsid w:val="00631070"/>
    <w:rsid w:val="006312BB"/>
    <w:rsid w:val="006320CF"/>
    <w:rsid w:val="0063272E"/>
    <w:rsid w:val="00632817"/>
    <w:rsid w:val="00632ECF"/>
    <w:rsid w:val="00633F8C"/>
    <w:rsid w:val="00634433"/>
    <w:rsid w:val="00634C1B"/>
    <w:rsid w:val="00634D74"/>
    <w:rsid w:val="0063526D"/>
    <w:rsid w:val="006352EA"/>
    <w:rsid w:val="006354E3"/>
    <w:rsid w:val="00635677"/>
    <w:rsid w:val="00635E64"/>
    <w:rsid w:val="00636830"/>
    <w:rsid w:val="00636931"/>
    <w:rsid w:val="00636A97"/>
    <w:rsid w:val="006377F7"/>
    <w:rsid w:val="006403FA"/>
    <w:rsid w:val="00640CF1"/>
    <w:rsid w:val="00640DC7"/>
    <w:rsid w:val="006416F7"/>
    <w:rsid w:val="00641761"/>
    <w:rsid w:val="00641A50"/>
    <w:rsid w:val="00642409"/>
    <w:rsid w:val="00642C4A"/>
    <w:rsid w:val="0064322E"/>
    <w:rsid w:val="006437DD"/>
    <w:rsid w:val="00644083"/>
    <w:rsid w:val="00645C92"/>
    <w:rsid w:val="00646D87"/>
    <w:rsid w:val="00647066"/>
    <w:rsid w:val="00647E03"/>
    <w:rsid w:val="006506DE"/>
    <w:rsid w:val="00651B87"/>
    <w:rsid w:val="00651D44"/>
    <w:rsid w:val="00651F0A"/>
    <w:rsid w:val="006523CC"/>
    <w:rsid w:val="00652424"/>
    <w:rsid w:val="00652F0C"/>
    <w:rsid w:val="00654398"/>
    <w:rsid w:val="00655833"/>
    <w:rsid w:val="00655BE7"/>
    <w:rsid w:val="00655E60"/>
    <w:rsid w:val="006564D2"/>
    <w:rsid w:val="006566FC"/>
    <w:rsid w:val="00656C82"/>
    <w:rsid w:val="00657881"/>
    <w:rsid w:val="00657F38"/>
    <w:rsid w:val="00660DEA"/>
    <w:rsid w:val="0066197C"/>
    <w:rsid w:val="006637D3"/>
    <w:rsid w:val="00663B68"/>
    <w:rsid w:val="0066451A"/>
    <w:rsid w:val="00664B21"/>
    <w:rsid w:val="006652B6"/>
    <w:rsid w:val="006661FF"/>
    <w:rsid w:val="00666882"/>
    <w:rsid w:val="00666FF5"/>
    <w:rsid w:val="006670B8"/>
    <w:rsid w:val="0066737D"/>
    <w:rsid w:val="006673F4"/>
    <w:rsid w:val="00667E20"/>
    <w:rsid w:val="00670230"/>
    <w:rsid w:val="00670C8A"/>
    <w:rsid w:val="006720D8"/>
    <w:rsid w:val="00672413"/>
    <w:rsid w:val="00672C7E"/>
    <w:rsid w:val="00673589"/>
    <w:rsid w:val="00674246"/>
    <w:rsid w:val="006749B2"/>
    <w:rsid w:val="00674B85"/>
    <w:rsid w:val="00674ECF"/>
    <w:rsid w:val="0067527F"/>
    <w:rsid w:val="00675564"/>
    <w:rsid w:val="00675F80"/>
    <w:rsid w:val="00676510"/>
    <w:rsid w:val="00676534"/>
    <w:rsid w:val="00676FDC"/>
    <w:rsid w:val="006779DB"/>
    <w:rsid w:val="00677B17"/>
    <w:rsid w:val="00677F54"/>
    <w:rsid w:val="00680438"/>
    <w:rsid w:val="00680B2B"/>
    <w:rsid w:val="00681DF2"/>
    <w:rsid w:val="00683377"/>
    <w:rsid w:val="00683B22"/>
    <w:rsid w:val="00684354"/>
    <w:rsid w:val="00685140"/>
    <w:rsid w:val="00685683"/>
    <w:rsid w:val="00685946"/>
    <w:rsid w:val="00685B1D"/>
    <w:rsid w:val="00686A35"/>
    <w:rsid w:val="006874AE"/>
    <w:rsid w:val="00690229"/>
    <w:rsid w:val="006904B4"/>
    <w:rsid w:val="00691C98"/>
    <w:rsid w:val="00692E91"/>
    <w:rsid w:val="00693670"/>
    <w:rsid w:val="00694057"/>
    <w:rsid w:val="0069456F"/>
    <w:rsid w:val="006959AA"/>
    <w:rsid w:val="00695CBC"/>
    <w:rsid w:val="00695D25"/>
    <w:rsid w:val="00696008"/>
    <w:rsid w:val="00696065"/>
    <w:rsid w:val="006969F7"/>
    <w:rsid w:val="00696B82"/>
    <w:rsid w:val="00696C2E"/>
    <w:rsid w:val="0069723B"/>
    <w:rsid w:val="006A01D5"/>
    <w:rsid w:val="006A0D4E"/>
    <w:rsid w:val="006A116F"/>
    <w:rsid w:val="006A2165"/>
    <w:rsid w:val="006A21E3"/>
    <w:rsid w:val="006A4743"/>
    <w:rsid w:val="006A5640"/>
    <w:rsid w:val="006A5BC3"/>
    <w:rsid w:val="006A6248"/>
    <w:rsid w:val="006A688E"/>
    <w:rsid w:val="006A7371"/>
    <w:rsid w:val="006A7429"/>
    <w:rsid w:val="006A7A12"/>
    <w:rsid w:val="006B0CA0"/>
    <w:rsid w:val="006B0D83"/>
    <w:rsid w:val="006B0DBF"/>
    <w:rsid w:val="006B12B7"/>
    <w:rsid w:val="006B12CD"/>
    <w:rsid w:val="006B2945"/>
    <w:rsid w:val="006B298E"/>
    <w:rsid w:val="006B2EA5"/>
    <w:rsid w:val="006B3DD3"/>
    <w:rsid w:val="006B4091"/>
    <w:rsid w:val="006B4A33"/>
    <w:rsid w:val="006B57D8"/>
    <w:rsid w:val="006B6430"/>
    <w:rsid w:val="006B67B1"/>
    <w:rsid w:val="006B6E74"/>
    <w:rsid w:val="006B70A5"/>
    <w:rsid w:val="006B7BB4"/>
    <w:rsid w:val="006C0763"/>
    <w:rsid w:val="006C179B"/>
    <w:rsid w:val="006C24E4"/>
    <w:rsid w:val="006C35E2"/>
    <w:rsid w:val="006C3974"/>
    <w:rsid w:val="006C3DB7"/>
    <w:rsid w:val="006C5752"/>
    <w:rsid w:val="006C6B3F"/>
    <w:rsid w:val="006C70A7"/>
    <w:rsid w:val="006D0358"/>
    <w:rsid w:val="006D05DA"/>
    <w:rsid w:val="006D1BC3"/>
    <w:rsid w:val="006D2045"/>
    <w:rsid w:val="006D3592"/>
    <w:rsid w:val="006D3B7A"/>
    <w:rsid w:val="006D4483"/>
    <w:rsid w:val="006D4B7B"/>
    <w:rsid w:val="006D5222"/>
    <w:rsid w:val="006D54E3"/>
    <w:rsid w:val="006D6F25"/>
    <w:rsid w:val="006D7AA0"/>
    <w:rsid w:val="006E0937"/>
    <w:rsid w:val="006E0E84"/>
    <w:rsid w:val="006E1A02"/>
    <w:rsid w:val="006E2301"/>
    <w:rsid w:val="006E2A1E"/>
    <w:rsid w:val="006E2E10"/>
    <w:rsid w:val="006E34B4"/>
    <w:rsid w:val="006E37AD"/>
    <w:rsid w:val="006E38D2"/>
    <w:rsid w:val="006E44C4"/>
    <w:rsid w:val="006E4EA0"/>
    <w:rsid w:val="006E51EC"/>
    <w:rsid w:val="006E5CFC"/>
    <w:rsid w:val="006E723C"/>
    <w:rsid w:val="006E7634"/>
    <w:rsid w:val="006F022C"/>
    <w:rsid w:val="006F0E59"/>
    <w:rsid w:val="006F17EA"/>
    <w:rsid w:val="006F1D4F"/>
    <w:rsid w:val="006F241A"/>
    <w:rsid w:val="006F344C"/>
    <w:rsid w:val="006F37F7"/>
    <w:rsid w:val="006F38A4"/>
    <w:rsid w:val="006F3A60"/>
    <w:rsid w:val="006F3A6C"/>
    <w:rsid w:val="006F3AC4"/>
    <w:rsid w:val="006F3CB8"/>
    <w:rsid w:val="006F4529"/>
    <w:rsid w:val="006F54D8"/>
    <w:rsid w:val="006F5A9E"/>
    <w:rsid w:val="006F7D55"/>
    <w:rsid w:val="0070160C"/>
    <w:rsid w:val="007029C9"/>
    <w:rsid w:val="0070360C"/>
    <w:rsid w:val="00704CDA"/>
    <w:rsid w:val="00704D9C"/>
    <w:rsid w:val="007051BD"/>
    <w:rsid w:val="007055BD"/>
    <w:rsid w:val="007057D5"/>
    <w:rsid w:val="00705838"/>
    <w:rsid w:val="0070586A"/>
    <w:rsid w:val="00705F8B"/>
    <w:rsid w:val="00706E25"/>
    <w:rsid w:val="00707DDC"/>
    <w:rsid w:val="00710A71"/>
    <w:rsid w:val="00711947"/>
    <w:rsid w:val="00711E5F"/>
    <w:rsid w:val="007123D3"/>
    <w:rsid w:val="00712CB5"/>
    <w:rsid w:val="00712EBA"/>
    <w:rsid w:val="007136D6"/>
    <w:rsid w:val="00713700"/>
    <w:rsid w:val="00713D85"/>
    <w:rsid w:val="0071622F"/>
    <w:rsid w:val="00716525"/>
    <w:rsid w:val="0071664B"/>
    <w:rsid w:val="00717815"/>
    <w:rsid w:val="00717F0F"/>
    <w:rsid w:val="007202F1"/>
    <w:rsid w:val="007206FC"/>
    <w:rsid w:val="007208ED"/>
    <w:rsid w:val="007209DE"/>
    <w:rsid w:val="00720B04"/>
    <w:rsid w:val="00720DE9"/>
    <w:rsid w:val="00721288"/>
    <w:rsid w:val="007219B5"/>
    <w:rsid w:val="007220F3"/>
    <w:rsid w:val="0072292E"/>
    <w:rsid w:val="00722A6B"/>
    <w:rsid w:val="00722F03"/>
    <w:rsid w:val="0072333C"/>
    <w:rsid w:val="00723382"/>
    <w:rsid w:val="00724255"/>
    <w:rsid w:val="00725BFB"/>
    <w:rsid w:val="00725ED1"/>
    <w:rsid w:val="00725F40"/>
    <w:rsid w:val="007262AC"/>
    <w:rsid w:val="00726909"/>
    <w:rsid w:val="00727289"/>
    <w:rsid w:val="007276D7"/>
    <w:rsid w:val="0073020A"/>
    <w:rsid w:val="00731456"/>
    <w:rsid w:val="00731D0D"/>
    <w:rsid w:val="007330BE"/>
    <w:rsid w:val="007334EE"/>
    <w:rsid w:val="0073362C"/>
    <w:rsid w:val="00734038"/>
    <w:rsid w:val="00734A1B"/>
    <w:rsid w:val="00736676"/>
    <w:rsid w:val="00736966"/>
    <w:rsid w:val="007373C5"/>
    <w:rsid w:val="00737492"/>
    <w:rsid w:val="0073792C"/>
    <w:rsid w:val="00740761"/>
    <w:rsid w:val="00740AC3"/>
    <w:rsid w:val="00741549"/>
    <w:rsid w:val="007427F8"/>
    <w:rsid w:val="00742F0B"/>
    <w:rsid w:val="0074567C"/>
    <w:rsid w:val="00746E78"/>
    <w:rsid w:val="007476FC"/>
    <w:rsid w:val="00747852"/>
    <w:rsid w:val="00747C51"/>
    <w:rsid w:val="00751438"/>
    <w:rsid w:val="007531D1"/>
    <w:rsid w:val="0075369E"/>
    <w:rsid w:val="00753F89"/>
    <w:rsid w:val="007554A7"/>
    <w:rsid w:val="007557B7"/>
    <w:rsid w:val="00755930"/>
    <w:rsid w:val="00755C95"/>
    <w:rsid w:val="00755CD1"/>
    <w:rsid w:val="00756777"/>
    <w:rsid w:val="00756A95"/>
    <w:rsid w:val="00757650"/>
    <w:rsid w:val="00757E50"/>
    <w:rsid w:val="00760425"/>
    <w:rsid w:val="0076116F"/>
    <w:rsid w:val="0076195E"/>
    <w:rsid w:val="0076316E"/>
    <w:rsid w:val="00764327"/>
    <w:rsid w:val="00764888"/>
    <w:rsid w:val="00764B75"/>
    <w:rsid w:val="0076713E"/>
    <w:rsid w:val="00767992"/>
    <w:rsid w:val="0077068E"/>
    <w:rsid w:val="00771460"/>
    <w:rsid w:val="00771769"/>
    <w:rsid w:val="00771B76"/>
    <w:rsid w:val="00771DD9"/>
    <w:rsid w:val="00772567"/>
    <w:rsid w:val="0077280B"/>
    <w:rsid w:val="00772CE8"/>
    <w:rsid w:val="00773AFE"/>
    <w:rsid w:val="00773BFD"/>
    <w:rsid w:val="00774153"/>
    <w:rsid w:val="00774B49"/>
    <w:rsid w:val="00774BD8"/>
    <w:rsid w:val="00775006"/>
    <w:rsid w:val="0077549F"/>
    <w:rsid w:val="00775735"/>
    <w:rsid w:val="007769AC"/>
    <w:rsid w:val="00777149"/>
    <w:rsid w:val="00780F35"/>
    <w:rsid w:val="00781082"/>
    <w:rsid w:val="0078150C"/>
    <w:rsid w:val="007822F0"/>
    <w:rsid w:val="00782697"/>
    <w:rsid w:val="00782F7E"/>
    <w:rsid w:val="007837B2"/>
    <w:rsid w:val="00783BF1"/>
    <w:rsid w:val="0078466E"/>
    <w:rsid w:val="00784825"/>
    <w:rsid w:val="00784A30"/>
    <w:rsid w:val="00784C1F"/>
    <w:rsid w:val="007851CA"/>
    <w:rsid w:val="00785769"/>
    <w:rsid w:val="007866EF"/>
    <w:rsid w:val="0078796D"/>
    <w:rsid w:val="007902EA"/>
    <w:rsid w:val="00791473"/>
    <w:rsid w:val="007914D6"/>
    <w:rsid w:val="00791FCE"/>
    <w:rsid w:val="00793830"/>
    <w:rsid w:val="00794A9A"/>
    <w:rsid w:val="00795071"/>
    <w:rsid w:val="00795B10"/>
    <w:rsid w:val="00795EF3"/>
    <w:rsid w:val="007960B6"/>
    <w:rsid w:val="00796233"/>
    <w:rsid w:val="007964AA"/>
    <w:rsid w:val="00797137"/>
    <w:rsid w:val="007A05DE"/>
    <w:rsid w:val="007A33D7"/>
    <w:rsid w:val="007A3792"/>
    <w:rsid w:val="007A3843"/>
    <w:rsid w:val="007A3CA5"/>
    <w:rsid w:val="007A51B9"/>
    <w:rsid w:val="007A522C"/>
    <w:rsid w:val="007A5E08"/>
    <w:rsid w:val="007A5F61"/>
    <w:rsid w:val="007A5FBC"/>
    <w:rsid w:val="007A61C4"/>
    <w:rsid w:val="007A6F00"/>
    <w:rsid w:val="007A7F3B"/>
    <w:rsid w:val="007B0D50"/>
    <w:rsid w:val="007B1329"/>
    <w:rsid w:val="007B1791"/>
    <w:rsid w:val="007B22E8"/>
    <w:rsid w:val="007B2A2C"/>
    <w:rsid w:val="007B2A36"/>
    <w:rsid w:val="007B4020"/>
    <w:rsid w:val="007B44AA"/>
    <w:rsid w:val="007B44BF"/>
    <w:rsid w:val="007B4CA9"/>
    <w:rsid w:val="007B4D29"/>
    <w:rsid w:val="007B63D3"/>
    <w:rsid w:val="007C0293"/>
    <w:rsid w:val="007C0B01"/>
    <w:rsid w:val="007C2C60"/>
    <w:rsid w:val="007C2DF8"/>
    <w:rsid w:val="007C2E10"/>
    <w:rsid w:val="007C350E"/>
    <w:rsid w:val="007C3899"/>
    <w:rsid w:val="007C3CBE"/>
    <w:rsid w:val="007C3CD1"/>
    <w:rsid w:val="007C58AC"/>
    <w:rsid w:val="007C5E73"/>
    <w:rsid w:val="007C6353"/>
    <w:rsid w:val="007C6EA0"/>
    <w:rsid w:val="007C7091"/>
    <w:rsid w:val="007C75E9"/>
    <w:rsid w:val="007C7EE5"/>
    <w:rsid w:val="007D0940"/>
    <w:rsid w:val="007D0D5F"/>
    <w:rsid w:val="007D110F"/>
    <w:rsid w:val="007D1818"/>
    <w:rsid w:val="007D2BA7"/>
    <w:rsid w:val="007D2CAC"/>
    <w:rsid w:val="007D42AF"/>
    <w:rsid w:val="007D4BE6"/>
    <w:rsid w:val="007D569E"/>
    <w:rsid w:val="007D66A8"/>
    <w:rsid w:val="007D696E"/>
    <w:rsid w:val="007D6ACB"/>
    <w:rsid w:val="007D6CE9"/>
    <w:rsid w:val="007D6DCE"/>
    <w:rsid w:val="007D7EA0"/>
    <w:rsid w:val="007E00BC"/>
    <w:rsid w:val="007E0BDE"/>
    <w:rsid w:val="007E1A4B"/>
    <w:rsid w:val="007E2A1D"/>
    <w:rsid w:val="007E2EDC"/>
    <w:rsid w:val="007E4B5F"/>
    <w:rsid w:val="007E5562"/>
    <w:rsid w:val="007E5811"/>
    <w:rsid w:val="007E5C0C"/>
    <w:rsid w:val="007E6364"/>
    <w:rsid w:val="007E67F2"/>
    <w:rsid w:val="007E6958"/>
    <w:rsid w:val="007E7C50"/>
    <w:rsid w:val="007F00F7"/>
    <w:rsid w:val="007F057C"/>
    <w:rsid w:val="007F0837"/>
    <w:rsid w:val="007F0C61"/>
    <w:rsid w:val="007F1638"/>
    <w:rsid w:val="007F1A59"/>
    <w:rsid w:val="007F1BD8"/>
    <w:rsid w:val="007F1E9C"/>
    <w:rsid w:val="007F1F37"/>
    <w:rsid w:val="007F1F86"/>
    <w:rsid w:val="007F220F"/>
    <w:rsid w:val="007F29D6"/>
    <w:rsid w:val="007F2AF9"/>
    <w:rsid w:val="007F2D6F"/>
    <w:rsid w:val="007F2DE0"/>
    <w:rsid w:val="007F4591"/>
    <w:rsid w:val="007F68BA"/>
    <w:rsid w:val="007F7558"/>
    <w:rsid w:val="00801F7D"/>
    <w:rsid w:val="0080345F"/>
    <w:rsid w:val="00807872"/>
    <w:rsid w:val="00810410"/>
    <w:rsid w:val="00811E1E"/>
    <w:rsid w:val="00812398"/>
    <w:rsid w:val="008126DA"/>
    <w:rsid w:val="00813B84"/>
    <w:rsid w:val="00814AAB"/>
    <w:rsid w:val="00814B79"/>
    <w:rsid w:val="00814C01"/>
    <w:rsid w:val="00814EE4"/>
    <w:rsid w:val="00815FDD"/>
    <w:rsid w:val="008161AD"/>
    <w:rsid w:val="00816407"/>
    <w:rsid w:val="008164B2"/>
    <w:rsid w:val="0081662B"/>
    <w:rsid w:val="00816C1C"/>
    <w:rsid w:val="0082078F"/>
    <w:rsid w:val="00820DB2"/>
    <w:rsid w:val="00820EB9"/>
    <w:rsid w:val="008211C6"/>
    <w:rsid w:val="00822706"/>
    <w:rsid w:val="00822F3A"/>
    <w:rsid w:val="008233AC"/>
    <w:rsid w:val="00823C76"/>
    <w:rsid w:val="00824165"/>
    <w:rsid w:val="00824813"/>
    <w:rsid w:val="00825673"/>
    <w:rsid w:val="0082660D"/>
    <w:rsid w:val="0082663D"/>
    <w:rsid w:val="00826A19"/>
    <w:rsid w:val="00826BA1"/>
    <w:rsid w:val="00830241"/>
    <w:rsid w:val="008302AF"/>
    <w:rsid w:val="008304FA"/>
    <w:rsid w:val="0083110F"/>
    <w:rsid w:val="00832168"/>
    <w:rsid w:val="00832686"/>
    <w:rsid w:val="008334B0"/>
    <w:rsid w:val="00833C64"/>
    <w:rsid w:val="0083418B"/>
    <w:rsid w:val="00834B38"/>
    <w:rsid w:val="0083537C"/>
    <w:rsid w:val="00836142"/>
    <w:rsid w:val="008361EC"/>
    <w:rsid w:val="00836450"/>
    <w:rsid w:val="0083700A"/>
    <w:rsid w:val="0083710A"/>
    <w:rsid w:val="00837DEA"/>
    <w:rsid w:val="008414C3"/>
    <w:rsid w:val="008416DC"/>
    <w:rsid w:val="00841B47"/>
    <w:rsid w:val="00841FCC"/>
    <w:rsid w:val="008436DB"/>
    <w:rsid w:val="00843971"/>
    <w:rsid w:val="00844F48"/>
    <w:rsid w:val="008461F2"/>
    <w:rsid w:val="008472AB"/>
    <w:rsid w:val="008478D5"/>
    <w:rsid w:val="00847BEA"/>
    <w:rsid w:val="00847CA6"/>
    <w:rsid w:val="008501C7"/>
    <w:rsid w:val="00850208"/>
    <w:rsid w:val="00850BCD"/>
    <w:rsid w:val="0085104E"/>
    <w:rsid w:val="00851318"/>
    <w:rsid w:val="00851F2A"/>
    <w:rsid w:val="00851F8F"/>
    <w:rsid w:val="0085309D"/>
    <w:rsid w:val="008534C3"/>
    <w:rsid w:val="00854822"/>
    <w:rsid w:val="00854903"/>
    <w:rsid w:val="00854A4F"/>
    <w:rsid w:val="00855010"/>
    <w:rsid w:val="00856658"/>
    <w:rsid w:val="00856B36"/>
    <w:rsid w:val="00856FEE"/>
    <w:rsid w:val="00857167"/>
    <w:rsid w:val="00857172"/>
    <w:rsid w:val="00857913"/>
    <w:rsid w:val="00860685"/>
    <w:rsid w:val="008608E6"/>
    <w:rsid w:val="00860E80"/>
    <w:rsid w:val="0086177D"/>
    <w:rsid w:val="00861E56"/>
    <w:rsid w:val="00861F17"/>
    <w:rsid w:val="00862126"/>
    <w:rsid w:val="00863098"/>
    <w:rsid w:val="008634B4"/>
    <w:rsid w:val="00864663"/>
    <w:rsid w:val="008649A5"/>
    <w:rsid w:val="00864DF0"/>
    <w:rsid w:val="0086540E"/>
    <w:rsid w:val="00865782"/>
    <w:rsid w:val="008657AF"/>
    <w:rsid w:val="00866CCF"/>
    <w:rsid w:val="00866F38"/>
    <w:rsid w:val="00867307"/>
    <w:rsid w:val="00871346"/>
    <w:rsid w:val="00871A3F"/>
    <w:rsid w:val="008721D0"/>
    <w:rsid w:val="008728F3"/>
    <w:rsid w:val="00873303"/>
    <w:rsid w:val="008734D5"/>
    <w:rsid w:val="00874568"/>
    <w:rsid w:val="00874AA1"/>
    <w:rsid w:val="00874C83"/>
    <w:rsid w:val="00875BAE"/>
    <w:rsid w:val="0087623E"/>
    <w:rsid w:val="00876F3B"/>
    <w:rsid w:val="00877A8E"/>
    <w:rsid w:val="00877F33"/>
    <w:rsid w:val="008807FF"/>
    <w:rsid w:val="008813CB"/>
    <w:rsid w:val="00882C88"/>
    <w:rsid w:val="008836A6"/>
    <w:rsid w:val="0088383D"/>
    <w:rsid w:val="00883A3E"/>
    <w:rsid w:val="00883C45"/>
    <w:rsid w:val="00884282"/>
    <w:rsid w:val="00885499"/>
    <w:rsid w:val="008856C3"/>
    <w:rsid w:val="008857AA"/>
    <w:rsid w:val="00885947"/>
    <w:rsid w:val="0088602E"/>
    <w:rsid w:val="008862C7"/>
    <w:rsid w:val="00887753"/>
    <w:rsid w:val="00887B60"/>
    <w:rsid w:val="008901D8"/>
    <w:rsid w:val="00890936"/>
    <w:rsid w:val="00891290"/>
    <w:rsid w:val="0089150C"/>
    <w:rsid w:val="00891F48"/>
    <w:rsid w:val="008925AC"/>
    <w:rsid w:val="008928DA"/>
    <w:rsid w:val="00892CB8"/>
    <w:rsid w:val="00893200"/>
    <w:rsid w:val="008935B9"/>
    <w:rsid w:val="0089360E"/>
    <w:rsid w:val="008939F6"/>
    <w:rsid w:val="00894F36"/>
    <w:rsid w:val="008957E9"/>
    <w:rsid w:val="00895A5C"/>
    <w:rsid w:val="00896169"/>
    <w:rsid w:val="008A0014"/>
    <w:rsid w:val="008A0505"/>
    <w:rsid w:val="008A1873"/>
    <w:rsid w:val="008A1C36"/>
    <w:rsid w:val="008A253D"/>
    <w:rsid w:val="008A365A"/>
    <w:rsid w:val="008A3DBC"/>
    <w:rsid w:val="008A434F"/>
    <w:rsid w:val="008A44E6"/>
    <w:rsid w:val="008A4A0D"/>
    <w:rsid w:val="008A5A57"/>
    <w:rsid w:val="008A760A"/>
    <w:rsid w:val="008B18DF"/>
    <w:rsid w:val="008B1C14"/>
    <w:rsid w:val="008B286D"/>
    <w:rsid w:val="008B2A7F"/>
    <w:rsid w:val="008B3695"/>
    <w:rsid w:val="008B3BD3"/>
    <w:rsid w:val="008B40BA"/>
    <w:rsid w:val="008B4B0B"/>
    <w:rsid w:val="008B5354"/>
    <w:rsid w:val="008B5952"/>
    <w:rsid w:val="008B5C7D"/>
    <w:rsid w:val="008B5D51"/>
    <w:rsid w:val="008B64F5"/>
    <w:rsid w:val="008B69E0"/>
    <w:rsid w:val="008B75F1"/>
    <w:rsid w:val="008B7891"/>
    <w:rsid w:val="008B79F6"/>
    <w:rsid w:val="008B7BFE"/>
    <w:rsid w:val="008B7FC3"/>
    <w:rsid w:val="008C0046"/>
    <w:rsid w:val="008C185A"/>
    <w:rsid w:val="008C188F"/>
    <w:rsid w:val="008C2A56"/>
    <w:rsid w:val="008C2CF9"/>
    <w:rsid w:val="008C3072"/>
    <w:rsid w:val="008C3A15"/>
    <w:rsid w:val="008C4694"/>
    <w:rsid w:val="008C61A3"/>
    <w:rsid w:val="008C7723"/>
    <w:rsid w:val="008C78A6"/>
    <w:rsid w:val="008C7A05"/>
    <w:rsid w:val="008C7D23"/>
    <w:rsid w:val="008C7E0F"/>
    <w:rsid w:val="008D01BC"/>
    <w:rsid w:val="008D0689"/>
    <w:rsid w:val="008D0B2D"/>
    <w:rsid w:val="008D0EE1"/>
    <w:rsid w:val="008D105B"/>
    <w:rsid w:val="008D184F"/>
    <w:rsid w:val="008D1EA4"/>
    <w:rsid w:val="008D2356"/>
    <w:rsid w:val="008D27D1"/>
    <w:rsid w:val="008D29EF"/>
    <w:rsid w:val="008D3901"/>
    <w:rsid w:val="008D4731"/>
    <w:rsid w:val="008D489C"/>
    <w:rsid w:val="008D5527"/>
    <w:rsid w:val="008D5B3B"/>
    <w:rsid w:val="008D5CA0"/>
    <w:rsid w:val="008D5E95"/>
    <w:rsid w:val="008D6821"/>
    <w:rsid w:val="008D6D07"/>
    <w:rsid w:val="008D6E47"/>
    <w:rsid w:val="008D7783"/>
    <w:rsid w:val="008E00E0"/>
    <w:rsid w:val="008E065D"/>
    <w:rsid w:val="008E1298"/>
    <w:rsid w:val="008E1BF5"/>
    <w:rsid w:val="008E292D"/>
    <w:rsid w:val="008E325D"/>
    <w:rsid w:val="008E32F7"/>
    <w:rsid w:val="008E39D9"/>
    <w:rsid w:val="008E3EEA"/>
    <w:rsid w:val="008E42F8"/>
    <w:rsid w:val="008E44A8"/>
    <w:rsid w:val="008E44DF"/>
    <w:rsid w:val="008E4589"/>
    <w:rsid w:val="008E4A42"/>
    <w:rsid w:val="008E4E8A"/>
    <w:rsid w:val="008E5C0C"/>
    <w:rsid w:val="008E5DCE"/>
    <w:rsid w:val="008E5E49"/>
    <w:rsid w:val="008E7A66"/>
    <w:rsid w:val="008F1796"/>
    <w:rsid w:val="008F1A15"/>
    <w:rsid w:val="008F1B11"/>
    <w:rsid w:val="008F219C"/>
    <w:rsid w:val="008F235D"/>
    <w:rsid w:val="008F3BCB"/>
    <w:rsid w:val="008F3F3A"/>
    <w:rsid w:val="008F4B7D"/>
    <w:rsid w:val="008F4CD4"/>
    <w:rsid w:val="008F54F5"/>
    <w:rsid w:val="008F5991"/>
    <w:rsid w:val="008F6ADC"/>
    <w:rsid w:val="008F7202"/>
    <w:rsid w:val="008F7ED7"/>
    <w:rsid w:val="00900041"/>
    <w:rsid w:val="00900E9A"/>
    <w:rsid w:val="00900EF4"/>
    <w:rsid w:val="00901410"/>
    <w:rsid w:val="00902544"/>
    <w:rsid w:val="00902A00"/>
    <w:rsid w:val="00902DDE"/>
    <w:rsid w:val="009031ED"/>
    <w:rsid w:val="009033CF"/>
    <w:rsid w:val="0090340A"/>
    <w:rsid w:val="00905982"/>
    <w:rsid w:val="009069DE"/>
    <w:rsid w:val="009117BE"/>
    <w:rsid w:val="009126B2"/>
    <w:rsid w:val="00912C25"/>
    <w:rsid w:val="009133DC"/>
    <w:rsid w:val="00913F81"/>
    <w:rsid w:val="00914557"/>
    <w:rsid w:val="00914D88"/>
    <w:rsid w:val="00915054"/>
    <w:rsid w:val="0091526C"/>
    <w:rsid w:val="009152DC"/>
    <w:rsid w:val="009160AE"/>
    <w:rsid w:val="009162B0"/>
    <w:rsid w:val="009175C6"/>
    <w:rsid w:val="00917A7A"/>
    <w:rsid w:val="00917FC3"/>
    <w:rsid w:val="009210C5"/>
    <w:rsid w:val="0092110B"/>
    <w:rsid w:val="00921C2E"/>
    <w:rsid w:val="00921D77"/>
    <w:rsid w:val="00923C61"/>
    <w:rsid w:val="00924BED"/>
    <w:rsid w:val="00924D55"/>
    <w:rsid w:val="00924F1D"/>
    <w:rsid w:val="009250DD"/>
    <w:rsid w:val="009252BF"/>
    <w:rsid w:val="009253EB"/>
    <w:rsid w:val="00926504"/>
    <w:rsid w:val="00927233"/>
    <w:rsid w:val="00927884"/>
    <w:rsid w:val="00927CFF"/>
    <w:rsid w:val="00930100"/>
    <w:rsid w:val="009303AD"/>
    <w:rsid w:val="00930405"/>
    <w:rsid w:val="0093042F"/>
    <w:rsid w:val="00930A7D"/>
    <w:rsid w:val="00930ED4"/>
    <w:rsid w:val="0093115F"/>
    <w:rsid w:val="0093178C"/>
    <w:rsid w:val="00931A97"/>
    <w:rsid w:val="00932305"/>
    <w:rsid w:val="00932AAF"/>
    <w:rsid w:val="00932F8F"/>
    <w:rsid w:val="00933372"/>
    <w:rsid w:val="0093396C"/>
    <w:rsid w:val="009339E0"/>
    <w:rsid w:val="00934383"/>
    <w:rsid w:val="00934A39"/>
    <w:rsid w:val="00934C97"/>
    <w:rsid w:val="00935C79"/>
    <w:rsid w:val="00935E61"/>
    <w:rsid w:val="00936877"/>
    <w:rsid w:val="00937B92"/>
    <w:rsid w:val="0094078C"/>
    <w:rsid w:val="00940BBD"/>
    <w:rsid w:val="00940C89"/>
    <w:rsid w:val="009412F0"/>
    <w:rsid w:val="00941955"/>
    <w:rsid w:val="00942D16"/>
    <w:rsid w:val="0094309A"/>
    <w:rsid w:val="0094346E"/>
    <w:rsid w:val="00943827"/>
    <w:rsid w:val="009445A1"/>
    <w:rsid w:val="0094593A"/>
    <w:rsid w:val="0094612C"/>
    <w:rsid w:val="00946B53"/>
    <w:rsid w:val="0095074E"/>
    <w:rsid w:val="0095161F"/>
    <w:rsid w:val="00951C88"/>
    <w:rsid w:val="00952C18"/>
    <w:rsid w:val="009533B6"/>
    <w:rsid w:val="009543AD"/>
    <w:rsid w:val="009548ED"/>
    <w:rsid w:val="00954943"/>
    <w:rsid w:val="00954EB3"/>
    <w:rsid w:val="009558C1"/>
    <w:rsid w:val="0095640A"/>
    <w:rsid w:val="00956D28"/>
    <w:rsid w:val="00956FE5"/>
    <w:rsid w:val="00957A23"/>
    <w:rsid w:val="00957AEA"/>
    <w:rsid w:val="00960011"/>
    <w:rsid w:val="00960333"/>
    <w:rsid w:val="00960463"/>
    <w:rsid w:val="009605DB"/>
    <w:rsid w:val="00960B5F"/>
    <w:rsid w:val="00961072"/>
    <w:rsid w:val="00961E6C"/>
    <w:rsid w:val="00962678"/>
    <w:rsid w:val="00962B43"/>
    <w:rsid w:val="00962C2C"/>
    <w:rsid w:val="00962D0F"/>
    <w:rsid w:val="00963683"/>
    <w:rsid w:val="00963E45"/>
    <w:rsid w:val="00963F75"/>
    <w:rsid w:val="00963FFD"/>
    <w:rsid w:val="009647A9"/>
    <w:rsid w:val="00964C69"/>
    <w:rsid w:val="00965BCC"/>
    <w:rsid w:val="00965DD3"/>
    <w:rsid w:val="00966855"/>
    <w:rsid w:val="00966AB2"/>
    <w:rsid w:val="0096759A"/>
    <w:rsid w:val="0097035E"/>
    <w:rsid w:val="00971626"/>
    <w:rsid w:val="0097221D"/>
    <w:rsid w:val="009733AA"/>
    <w:rsid w:val="00973575"/>
    <w:rsid w:val="00974323"/>
    <w:rsid w:val="00974D9F"/>
    <w:rsid w:val="009763ED"/>
    <w:rsid w:val="00977197"/>
    <w:rsid w:val="009775DB"/>
    <w:rsid w:val="009778F5"/>
    <w:rsid w:val="00977D49"/>
    <w:rsid w:val="00980EFC"/>
    <w:rsid w:val="009816E0"/>
    <w:rsid w:val="00982EFB"/>
    <w:rsid w:val="00983473"/>
    <w:rsid w:val="0098395C"/>
    <w:rsid w:val="00983B61"/>
    <w:rsid w:val="0098489B"/>
    <w:rsid w:val="00984D66"/>
    <w:rsid w:val="00985405"/>
    <w:rsid w:val="009855B9"/>
    <w:rsid w:val="00985F1A"/>
    <w:rsid w:val="00987501"/>
    <w:rsid w:val="009876B5"/>
    <w:rsid w:val="009906FE"/>
    <w:rsid w:val="0099108F"/>
    <w:rsid w:val="009918A0"/>
    <w:rsid w:val="00991BD5"/>
    <w:rsid w:val="009943E0"/>
    <w:rsid w:val="00994615"/>
    <w:rsid w:val="0099481C"/>
    <w:rsid w:val="00994D32"/>
    <w:rsid w:val="00995C40"/>
    <w:rsid w:val="00996825"/>
    <w:rsid w:val="00996E5E"/>
    <w:rsid w:val="00997903"/>
    <w:rsid w:val="009A0129"/>
    <w:rsid w:val="009A0ADA"/>
    <w:rsid w:val="009A0FCA"/>
    <w:rsid w:val="009A1113"/>
    <w:rsid w:val="009A1228"/>
    <w:rsid w:val="009A14B7"/>
    <w:rsid w:val="009A1A50"/>
    <w:rsid w:val="009A1D5E"/>
    <w:rsid w:val="009A212A"/>
    <w:rsid w:val="009A31F7"/>
    <w:rsid w:val="009A3214"/>
    <w:rsid w:val="009A35D3"/>
    <w:rsid w:val="009A3898"/>
    <w:rsid w:val="009A3B65"/>
    <w:rsid w:val="009A46EF"/>
    <w:rsid w:val="009A50E9"/>
    <w:rsid w:val="009A51B8"/>
    <w:rsid w:val="009A51FE"/>
    <w:rsid w:val="009A5EE3"/>
    <w:rsid w:val="009A6360"/>
    <w:rsid w:val="009A681A"/>
    <w:rsid w:val="009A6B3A"/>
    <w:rsid w:val="009A6CC9"/>
    <w:rsid w:val="009A78C2"/>
    <w:rsid w:val="009B0DB0"/>
    <w:rsid w:val="009B16D0"/>
    <w:rsid w:val="009B1929"/>
    <w:rsid w:val="009B1E0F"/>
    <w:rsid w:val="009B54A1"/>
    <w:rsid w:val="009B57D0"/>
    <w:rsid w:val="009B5BF4"/>
    <w:rsid w:val="009B6C67"/>
    <w:rsid w:val="009B7114"/>
    <w:rsid w:val="009B7906"/>
    <w:rsid w:val="009C00BB"/>
    <w:rsid w:val="009C1DE7"/>
    <w:rsid w:val="009C1F1F"/>
    <w:rsid w:val="009C29BC"/>
    <w:rsid w:val="009C29D7"/>
    <w:rsid w:val="009C2E38"/>
    <w:rsid w:val="009C3275"/>
    <w:rsid w:val="009C3449"/>
    <w:rsid w:val="009C395B"/>
    <w:rsid w:val="009C3DBE"/>
    <w:rsid w:val="009C4142"/>
    <w:rsid w:val="009C5BE3"/>
    <w:rsid w:val="009C6134"/>
    <w:rsid w:val="009C6147"/>
    <w:rsid w:val="009C641A"/>
    <w:rsid w:val="009C6712"/>
    <w:rsid w:val="009C67A2"/>
    <w:rsid w:val="009C6C6E"/>
    <w:rsid w:val="009C7BEE"/>
    <w:rsid w:val="009C7E7E"/>
    <w:rsid w:val="009D046D"/>
    <w:rsid w:val="009D089C"/>
    <w:rsid w:val="009D1308"/>
    <w:rsid w:val="009D1C17"/>
    <w:rsid w:val="009D1C25"/>
    <w:rsid w:val="009D1D25"/>
    <w:rsid w:val="009D1E4D"/>
    <w:rsid w:val="009D22B5"/>
    <w:rsid w:val="009D24E6"/>
    <w:rsid w:val="009D26DE"/>
    <w:rsid w:val="009D2ADE"/>
    <w:rsid w:val="009D2C34"/>
    <w:rsid w:val="009D2CF2"/>
    <w:rsid w:val="009D52AD"/>
    <w:rsid w:val="009D56E2"/>
    <w:rsid w:val="009D5B3F"/>
    <w:rsid w:val="009D62D2"/>
    <w:rsid w:val="009D64FC"/>
    <w:rsid w:val="009D6798"/>
    <w:rsid w:val="009D6AE1"/>
    <w:rsid w:val="009D79A0"/>
    <w:rsid w:val="009E09B6"/>
    <w:rsid w:val="009E11B3"/>
    <w:rsid w:val="009E1554"/>
    <w:rsid w:val="009E1C59"/>
    <w:rsid w:val="009E30C7"/>
    <w:rsid w:val="009E3678"/>
    <w:rsid w:val="009E376D"/>
    <w:rsid w:val="009E4269"/>
    <w:rsid w:val="009E6F43"/>
    <w:rsid w:val="009E702C"/>
    <w:rsid w:val="009E79A4"/>
    <w:rsid w:val="009E79A7"/>
    <w:rsid w:val="009E7F21"/>
    <w:rsid w:val="009F0201"/>
    <w:rsid w:val="009F412A"/>
    <w:rsid w:val="009F4BB7"/>
    <w:rsid w:val="009F5481"/>
    <w:rsid w:val="009F5E7E"/>
    <w:rsid w:val="009F6161"/>
    <w:rsid w:val="009F65E6"/>
    <w:rsid w:val="009F6BF2"/>
    <w:rsid w:val="009F7B4A"/>
    <w:rsid w:val="00A00F96"/>
    <w:rsid w:val="00A01263"/>
    <w:rsid w:val="00A01778"/>
    <w:rsid w:val="00A0188C"/>
    <w:rsid w:val="00A0203F"/>
    <w:rsid w:val="00A03141"/>
    <w:rsid w:val="00A03989"/>
    <w:rsid w:val="00A03E75"/>
    <w:rsid w:val="00A05547"/>
    <w:rsid w:val="00A0577A"/>
    <w:rsid w:val="00A05C22"/>
    <w:rsid w:val="00A05E8F"/>
    <w:rsid w:val="00A067B4"/>
    <w:rsid w:val="00A06EA2"/>
    <w:rsid w:val="00A07079"/>
    <w:rsid w:val="00A07163"/>
    <w:rsid w:val="00A103AD"/>
    <w:rsid w:val="00A10846"/>
    <w:rsid w:val="00A113FC"/>
    <w:rsid w:val="00A11945"/>
    <w:rsid w:val="00A11BED"/>
    <w:rsid w:val="00A12982"/>
    <w:rsid w:val="00A12B5C"/>
    <w:rsid w:val="00A12E0F"/>
    <w:rsid w:val="00A13398"/>
    <w:rsid w:val="00A134D3"/>
    <w:rsid w:val="00A13B74"/>
    <w:rsid w:val="00A14876"/>
    <w:rsid w:val="00A14ADB"/>
    <w:rsid w:val="00A15159"/>
    <w:rsid w:val="00A1546E"/>
    <w:rsid w:val="00A16022"/>
    <w:rsid w:val="00A177F7"/>
    <w:rsid w:val="00A17D0B"/>
    <w:rsid w:val="00A17EEA"/>
    <w:rsid w:val="00A17F28"/>
    <w:rsid w:val="00A218A4"/>
    <w:rsid w:val="00A21FA4"/>
    <w:rsid w:val="00A22424"/>
    <w:rsid w:val="00A224C4"/>
    <w:rsid w:val="00A23139"/>
    <w:rsid w:val="00A23979"/>
    <w:rsid w:val="00A259CA"/>
    <w:rsid w:val="00A26DB3"/>
    <w:rsid w:val="00A27556"/>
    <w:rsid w:val="00A3042C"/>
    <w:rsid w:val="00A310A2"/>
    <w:rsid w:val="00A31C1E"/>
    <w:rsid w:val="00A31EE0"/>
    <w:rsid w:val="00A3218F"/>
    <w:rsid w:val="00A322E1"/>
    <w:rsid w:val="00A323CE"/>
    <w:rsid w:val="00A32741"/>
    <w:rsid w:val="00A32FD2"/>
    <w:rsid w:val="00A33A6C"/>
    <w:rsid w:val="00A348B9"/>
    <w:rsid w:val="00A34C52"/>
    <w:rsid w:val="00A35ADE"/>
    <w:rsid w:val="00A35BD6"/>
    <w:rsid w:val="00A35D90"/>
    <w:rsid w:val="00A36C1C"/>
    <w:rsid w:val="00A374BF"/>
    <w:rsid w:val="00A37AEE"/>
    <w:rsid w:val="00A40C5A"/>
    <w:rsid w:val="00A41842"/>
    <w:rsid w:val="00A41E82"/>
    <w:rsid w:val="00A4228A"/>
    <w:rsid w:val="00A42DFE"/>
    <w:rsid w:val="00A42E22"/>
    <w:rsid w:val="00A43264"/>
    <w:rsid w:val="00A440FF"/>
    <w:rsid w:val="00A4438A"/>
    <w:rsid w:val="00A446FF"/>
    <w:rsid w:val="00A44756"/>
    <w:rsid w:val="00A44B44"/>
    <w:rsid w:val="00A45F59"/>
    <w:rsid w:val="00A46944"/>
    <w:rsid w:val="00A47F22"/>
    <w:rsid w:val="00A50039"/>
    <w:rsid w:val="00A5166F"/>
    <w:rsid w:val="00A5178C"/>
    <w:rsid w:val="00A51E3B"/>
    <w:rsid w:val="00A521CE"/>
    <w:rsid w:val="00A523EA"/>
    <w:rsid w:val="00A5326A"/>
    <w:rsid w:val="00A53612"/>
    <w:rsid w:val="00A5386A"/>
    <w:rsid w:val="00A53F22"/>
    <w:rsid w:val="00A54D8E"/>
    <w:rsid w:val="00A56026"/>
    <w:rsid w:val="00A564AA"/>
    <w:rsid w:val="00A56EAB"/>
    <w:rsid w:val="00A5750A"/>
    <w:rsid w:val="00A5751D"/>
    <w:rsid w:val="00A57D1A"/>
    <w:rsid w:val="00A605DF"/>
    <w:rsid w:val="00A61930"/>
    <w:rsid w:val="00A628D2"/>
    <w:rsid w:val="00A638C1"/>
    <w:rsid w:val="00A660A0"/>
    <w:rsid w:val="00A66377"/>
    <w:rsid w:val="00A674E7"/>
    <w:rsid w:val="00A70558"/>
    <w:rsid w:val="00A70742"/>
    <w:rsid w:val="00A70DB3"/>
    <w:rsid w:val="00A70E19"/>
    <w:rsid w:val="00A7138A"/>
    <w:rsid w:val="00A71983"/>
    <w:rsid w:val="00A72308"/>
    <w:rsid w:val="00A7282C"/>
    <w:rsid w:val="00A72E2D"/>
    <w:rsid w:val="00A7325C"/>
    <w:rsid w:val="00A732D2"/>
    <w:rsid w:val="00A733AB"/>
    <w:rsid w:val="00A738F3"/>
    <w:rsid w:val="00A73E32"/>
    <w:rsid w:val="00A7408D"/>
    <w:rsid w:val="00A744EF"/>
    <w:rsid w:val="00A74859"/>
    <w:rsid w:val="00A74F01"/>
    <w:rsid w:val="00A75AB9"/>
    <w:rsid w:val="00A75D32"/>
    <w:rsid w:val="00A75F41"/>
    <w:rsid w:val="00A76BC8"/>
    <w:rsid w:val="00A77D97"/>
    <w:rsid w:val="00A80221"/>
    <w:rsid w:val="00A80CE1"/>
    <w:rsid w:val="00A80E9A"/>
    <w:rsid w:val="00A81BD8"/>
    <w:rsid w:val="00A83893"/>
    <w:rsid w:val="00A84313"/>
    <w:rsid w:val="00A84C1A"/>
    <w:rsid w:val="00A8695B"/>
    <w:rsid w:val="00A86D36"/>
    <w:rsid w:val="00A922F6"/>
    <w:rsid w:val="00A92596"/>
    <w:rsid w:val="00A92C9D"/>
    <w:rsid w:val="00A92D25"/>
    <w:rsid w:val="00A94BA7"/>
    <w:rsid w:val="00A95039"/>
    <w:rsid w:val="00A96995"/>
    <w:rsid w:val="00A96D1E"/>
    <w:rsid w:val="00A96EBA"/>
    <w:rsid w:val="00A97620"/>
    <w:rsid w:val="00A97784"/>
    <w:rsid w:val="00AA06E2"/>
    <w:rsid w:val="00AA1527"/>
    <w:rsid w:val="00AA172A"/>
    <w:rsid w:val="00AA237E"/>
    <w:rsid w:val="00AA23ED"/>
    <w:rsid w:val="00AA2CF5"/>
    <w:rsid w:val="00AA59D9"/>
    <w:rsid w:val="00AA7458"/>
    <w:rsid w:val="00AB0055"/>
    <w:rsid w:val="00AB1EF5"/>
    <w:rsid w:val="00AB2E00"/>
    <w:rsid w:val="00AB3486"/>
    <w:rsid w:val="00AB3A3E"/>
    <w:rsid w:val="00AB3BBB"/>
    <w:rsid w:val="00AB46E0"/>
    <w:rsid w:val="00AB53E6"/>
    <w:rsid w:val="00AB5560"/>
    <w:rsid w:val="00AB76CC"/>
    <w:rsid w:val="00AB7994"/>
    <w:rsid w:val="00AB7ED6"/>
    <w:rsid w:val="00AC09B3"/>
    <w:rsid w:val="00AC1123"/>
    <w:rsid w:val="00AC117D"/>
    <w:rsid w:val="00AC1C10"/>
    <w:rsid w:val="00AC289A"/>
    <w:rsid w:val="00AC2A01"/>
    <w:rsid w:val="00AC2CEC"/>
    <w:rsid w:val="00AC3216"/>
    <w:rsid w:val="00AC3492"/>
    <w:rsid w:val="00AC3DA1"/>
    <w:rsid w:val="00AC3DC4"/>
    <w:rsid w:val="00AC4153"/>
    <w:rsid w:val="00AC4769"/>
    <w:rsid w:val="00AC4795"/>
    <w:rsid w:val="00AC526D"/>
    <w:rsid w:val="00AC5C34"/>
    <w:rsid w:val="00AC609D"/>
    <w:rsid w:val="00AC625D"/>
    <w:rsid w:val="00AC6633"/>
    <w:rsid w:val="00AC768E"/>
    <w:rsid w:val="00AC7A3F"/>
    <w:rsid w:val="00AC7EF1"/>
    <w:rsid w:val="00AD07CD"/>
    <w:rsid w:val="00AD0C10"/>
    <w:rsid w:val="00AD0C89"/>
    <w:rsid w:val="00AD139A"/>
    <w:rsid w:val="00AD1A11"/>
    <w:rsid w:val="00AD2224"/>
    <w:rsid w:val="00AD34EB"/>
    <w:rsid w:val="00AD3AC1"/>
    <w:rsid w:val="00AD4CB8"/>
    <w:rsid w:val="00AD5A7E"/>
    <w:rsid w:val="00AD5FE1"/>
    <w:rsid w:val="00AD6370"/>
    <w:rsid w:val="00AD6523"/>
    <w:rsid w:val="00AD6A1B"/>
    <w:rsid w:val="00AD6F13"/>
    <w:rsid w:val="00AD7904"/>
    <w:rsid w:val="00AD7A1E"/>
    <w:rsid w:val="00AD7CBC"/>
    <w:rsid w:val="00AD7F88"/>
    <w:rsid w:val="00AE04F8"/>
    <w:rsid w:val="00AE090F"/>
    <w:rsid w:val="00AE0B3C"/>
    <w:rsid w:val="00AE16A8"/>
    <w:rsid w:val="00AE1AA6"/>
    <w:rsid w:val="00AE20DD"/>
    <w:rsid w:val="00AE21B0"/>
    <w:rsid w:val="00AE28AA"/>
    <w:rsid w:val="00AE2C86"/>
    <w:rsid w:val="00AE34CD"/>
    <w:rsid w:val="00AE3721"/>
    <w:rsid w:val="00AE43F5"/>
    <w:rsid w:val="00AE4B84"/>
    <w:rsid w:val="00AE504B"/>
    <w:rsid w:val="00AE5975"/>
    <w:rsid w:val="00AE671B"/>
    <w:rsid w:val="00AE7918"/>
    <w:rsid w:val="00AF08C5"/>
    <w:rsid w:val="00AF09A5"/>
    <w:rsid w:val="00AF0D6A"/>
    <w:rsid w:val="00AF17A0"/>
    <w:rsid w:val="00AF3FD9"/>
    <w:rsid w:val="00AF4136"/>
    <w:rsid w:val="00AF610C"/>
    <w:rsid w:val="00AF66B7"/>
    <w:rsid w:val="00AF7859"/>
    <w:rsid w:val="00AF7E2A"/>
    <w:rsid w:val="00B0089D"/>
    <w:rsid w:val="00B01C62"/>
    <w:rsid w:val="00B02462"/>
    <w:rsid w:val="00B02A38"/>
    <w:rsid w:val="00B02CEF"/>
    <w:rsid w:val="00B039C6"/>
    <w:rsid w:val="00B0465A"/>
    <w:rsid w:val="00B04D49"/>
    <w:rsid w:val="00B04F93"/>
    <w:rsid w:val="00B05291"/>
    <w:rsid w:val="00B0582C"/>
    <w:rsid w:val="00B0647E"/>
    <w:rsid w:val="00B1036A"/>
    <w:rsid w:val="00B106A0"/>
    <w:rsid w:val="00B1108B"/>
    <w:rsid w:val="00B116CD"/>
    <w:rsid w:val="00B11B16"/>
    <w:rsid w:val="00B11EB7"/>
    <w:rsid w:val="00B12D54"/>
    <w:rsid w:val="00B14A55"/>
    <w:rsid w:val="00B15779"/>
    <w:rsid w:val="00B1668A"/>
    <w:rsid w:val="00B17D50"/>
    <w:rsid w:val="00B20532"/>
    <w:rsid w:val="00B20E2E"/>
    <w:rsid w:val="00B21771"/>
    <w:rsid w:val="00B2191A"/>
    <w:rsid w:val="00B22FC5"/>
    <w:rsid w:val="00B23A10"/>
    <w:rsid w:val="00B23ACE"/>
    <w:rsid w:val="00B24F20"/>
    <w:rsid w:val="00B24F77"/>
    <w:rsid w:val="00B2746A"/>
    <w:rsid w:val="00B3143C"/>
    <w:rsid w:val="00B31A54"/>
    <w:rsid w:val="00B325BF"/>
    <w:rsid w:val="00B329E8"/>
    <w:rsid w:val="00B32B22"/>
    <w:rsid w:val="00B3388E"/>
    <w:rsid w:val="00B338D9"/>
    <w:rsid w:val="00B34476"/>
    <w:rsid w:val="00B346CB"/>
    <w:rsid w:val="00B34DB4"/>
    <w:rsid w:val="00B35565"/>
    <w:rsid w:val="00B35D73"/>
    <w:rsid w:val="00B36B78"/>
    <w:rsid w:val="00B40092"/>
    <w:rsid w:val="00B40171"/>
    <w:rsid w:val="00B409E7"/>
    <w:rsid w:val="00B4197C"/>
    <w:rsid w:val="00B421D6"/>
    <w:rsid w:val="00B424B6"/>
    <w:rsid w:val="00B42C63"/>
    <w:rsid w:val="00B42D64"/>
    <w:rsid w:val="00B42D9A"/>
    <w:rsid w:val="00B43219"/>
    <w:rsid w:val="00B43471"/>
    <w:rsid w:val="00B45228"/>
    <w:rsid w:val="00B4557E"/>
    <w:rsid w:val="00B4659D"/>
    <w:rsid w:val="00B47005"/>
    <w:rsid w:val="00B47E11"/>
    <w:rsid w:val="00B5142A"/>
    <w:rsid w:val="00B519AD"/>
    <w:rsid w:val="00B51DFB"/>
    <w:rsid w:val="00B52120"/>
    <w:rsid w:val="00B52BCC"/>
    <w:rsid w:val="00B5381C"/>
    <w:rsid w:val="00B53B45"/>
    <w:rsid w:val="00B542CA"/>
    <w:rsid w:val="00B5556A"/>
    <w:rsid w:val="00B56A40"/>
    <w:rsid w:val="00B56B7D"/>
    <w:rsid w:val="00B5705F"/>
    <w:rsid w:val="00B57CD0"/>
    <w:rsid w:val="00B604BC"/>
    <w:rsid w:val="00B60D70"/>
    <w:rsid w:val="00B616AB"/>
    <w:rsid w:val="00B61E47"/>
    <w:rsid w:val="00B62996"/>
    <w:rsid w:val="00B63B07"/>
    <w:rsid w:val="00B64036"/>
    <w:rsid w:val="00B64F95"/>
    <w:rsid w:val="00B65B45"/>
    <w:rsid w:val="00B65DE2"/>
    <w:rsid w:val="00B66FAB"/>
    <w:rsid w:val="00B67A30"/>
    <w:rsid w:val="00B70E60"/>
    <w:rsid w:val="00B70F02"/>
    <w:rsid w:val="00B71D6D"/>
    <w:rsid w:val="00B71E5C"/>
    <w:rsid w:val="00B7296B"/>
    <w:rsid w:val="00B72E71"/>
    <w:rsid w:val="00B73012"/>
    <w:rsid w:val="00B7332D"/>
    <w:rsid w:val="00B73A84"/>
    <w:rsid w:val="00B73F30"/>
    <w:rsid w:val="00B7464C"/>
    <w:rsid w:val="00B74BE5"/>
    <w:rsid w:val="00B750AF"/>
    <w:rsid w:val="00B75188"/>
    <w:rsid w:val="00B753E7"/>
    <w:rsid w:val="00B75B02"/>
    <w:rsid w:val="00B76343"/>
    <w:rsid w:val="00B7677F"/>
    <w:rsid w:val="00B76964"/>
    <w:rsid w:val="00B77524"/>
    <w:rsid w:val="00B77EDA"/>
    <w:rsid w:val="00B80DD0"/>
    <w:rsid w:val="00B8201A"/>
    <w:rsid w:val="00B83349"/>
    <w:rsid w:val="00B83EE6"/>
    <w:rsid w:val="00B84B89"/>
    <w:rsid w:val="00B84D18"/>
    <w:rsid w:val="00B862EF"/>
    <w:rsid w:val="00B86ECC"/>
    <w:rsid w:val="00B86FC2"/>
    <w:rsid w:val="00B87115"/>
    <w:rsid w:val="00B87D80"/>
    <w:rsid w:val="00B90B0C"/>
    <w:rsid w:val="00B91236"/>
    <w:rsid w:val="00B91F31"/>
    <w:rsid w:val="00B920A4"/>
    <w:rsid w:val="00B92361"/>
    <w:rsid w:val="00B94AC0"/>
    <w:rsid w:val="00B9603D"/>
    <w:rsid w:val="00B96081"/>
    <w:rsid w:val="00B961E8"/>
    <w:rsid w:val="00B9633A"/>
    <w:rsid w:val="00B9664D"/>
    <w:rsid w:val="00B96C78"/>
    <w:rsid w:val="00B96E57"/>
    <w:rsid w:val="00B970AB"/>
    <w:rsid w:val="00B97EC6"/>
    <w:rsid w:val="00BA012A"/>
    <w:rsid w:val="00BA02F7"/>
    <w:rsid w:val="00BA0582"/>
    <w:rsid w:val="00BA0715"/>
    <w:rsid w:val="00BA0E0E"/>
    <w:rsid w:val="00BA14BC"/>
    <w:rsid w:val="00BA1A11"/>
    <w:rsid w:val="00BA1FF5"/>
    <w:rsid w:val="00BA23E0"/>
    <w:rsid w:val="00BA24C7"/>
    <w:rsid w:val="00BA2BB4"/>
    <w:rsid w:val="00BA3737"/>
    <w:rsid w:val="00BA3DCC"/>
    <w:rsid w:val="00BA4A28"/>
    <w:rsid w:val="00BA5C6E"/>
    <w:rsid w:val="00BA5CF2"/>
    <w:rsid w:val="00BA674B"/>
    <w:rsid w:val="00BA72F1"/>
    <w:rsid w:val="00BA7B8B"/>
    <w:rsid w:val="00BA7BD9"/>
    <w:rsid w:val="00BB0DA1"/>
    <w:rsid w:val="00BB1431"/>
    <w:rsid w:val="00BB15C3"/>
    <w:rsid w:val="00BB335D"/>
    <w:rsid w:val="00BB35CA"/>
    <w:rsid w:val="00BB3B02"/>
    <w:rsid w:val="00BB3C3E"/>
    <w:rsid w:val="00BB4104"/>
    <w:rsid w:val="00BB4578"/>
    <w:rsid w:val="00BB5BE8"/>
    <w:rsid w:val="00BB63E6"/>
    <w:rsid w:val="00BB690F"/>
    <w:rsid w:val="00BB7EA4"/>
    <w:rsid w:val="00BC03F6"/>
    <w:rsid w:val="00BC205D"/>
    <w:rsid w:val="00BC23DE"/>
    <w:rsid w:val="00BC294D"/>
    <w:rsid w:val="00BC2D67"/>
    <w:rsid w:val="00BC33E8"/>
    <w:rsid w:val="00BC39B6"/>
    <w:rsid w:val="00BC3D81"/>
    <w:rsid w:val="00BC3FB3"/>
    <w:rsid w:val="00BC46E6"/>
    <w:rsid w:val="00BC482E"/>
    <w:rsid w:val="00BC4BAC"/>
    <w:rsid w:val="00BC4E5F"/>
    <w:rsid w:val="00BC5118"/>
    <w:rsid w:val="00BC54C3"/>
    <w:rsid w:val="00BC6575"/>
    <w:rsid w:val="00BC66E6"/>
    <w:rsid w:val="00BC6770"/>
    <w:rsid w:val="00BC7C68"/>
    <w:rsid w:val="00BD0703"/>
    <w:rsid w:val="00BD07A7"/>
    <w:rsid w:val="00BD10E1"/>
    <w:rsid w:val="00BD1882"/>
    <w:rsid w:val="00BD196D"/>
    <w:rsid w:val="00BD2374"/>
    <w:rsid w:val="00BD305E"/>
    <w:rsid w:val="00BD3D60"/>
    <w:rsid w:val="00BD440A"/>
    <w:rsid w:val="00BD465B"/>
    <w:rsid w:val="00BD4744"/>
    <w:rsid w:val="00BD47D0"/>
    <w:rsid w:val="00BD4909"/>
    <w:rsid w:val="00BD5BA7"/>
    <w:rsid w:val="00BD6F86"/>
    <w:rsid w:val="00BD70ED"/>
    <w:rsid w:val="00BD7273"/>
    <w:rsid w:val="00BD7452"/>
    <w:rsid w:val="00BE1303"/>
    <w:rsid w:val="00BE1369"/>
    <w:rsid w:val="00BE2A8E"/>
    <w:rsid w:val="00BE2CA8"/>
    <w:rsid w:val="00BE3404"/>
    <w:rsid w:val="00BE5277"/>
    <w:rsid w:val="00BE5294"/>
    <w:rsid w:val="00BE6041"/>
    <w:rsid w:val="00BE6485"/>
    <w:rsid w:val="00BE6BE4"/>
    <w:rsid w:val="00BE7F6C"/>
    <w:rsid w:val="00BF0ED1"/>
    <w:rsid w:val="00BF16EE"/>
    <w:rsid w:val="00BF1732"/>
    <w:rsid w:val="00BF1830"/>
    <w:rsid w:val="00BF4205"/>
    <w:rsid w:val="00BF53A6"/>
    <w:rsid w:val="00BF5B70"/>
    <w:rsid w:val="00BF6B38"/>
    <w:rsid w:val="00BF77BA"/>
    <w:rsid w:val="00BF7FDE"/>
    <w:rsid w:val="00C01535"/>
    <w:rsid w:val="00C016A9"/>
    <w:rsid w:val="00C01BAE"/>
    <w:rsid w:val="00C01FFD"/>
    <w:rsid w:val="00C02113"/>
    <w:rsid w:val="00C036D9"/>
    <w:rsid w:val="00C04029"/>
    <w:rsid w:val="00C0414B"/>
    <w:rsid w:val="00C05208"/>
    <w:rsid w:val="00C05EDE"/>
    <w:rsid w:val="00C0660C"/>
    <w:rsid w:val="00C06BAC"/>
    <w:rsid w:val="00C07334"/>
    <w:rsid w:val="00C077C7"/>
    <w:rsid w:val="00C103FD"/>
    <w:rsid w:val="00C1094E"/>
    <w:rsid w:val="00C11480"/>
    <w:rsid w:val="00C1378A"/>
    <w:rsid w:val="00C143EE"/>
    <w:rsid w:val="00C14957"/>
    <w:rsid w:val="00C152A4"/>
    <w:rsid w:val="00C22645"/>
    <w:rsid w:val="00C229AC"/>
    <w:rsid w:val="00C22B05"/>
    <w:rsid w:val="00C24729"/>
    <w:rsid w:val="00C249F5"/>
    <w:rsid w:val="00C24A84"/>
    <w:rsid w:val="00C25AC0"/>
    <w:rsid w:val="00C2608A"/>
    <w:rsid w:val="00C2617D"/>
    <w:rsid w:val="00C266D2"/>
    <w:rsid w:val="00C26A08"/>
    <w:rsid w:val="00C26F67"/>
    <w:rsid w:val="00C27142"/>
    <w:rsid w:val="00C27588"/>
    <w:rsid w:val="00C277BD"/>
    <w:rsid w:val="00C30FDF"/>
    <w:rsid w:val="00C31F39"/>
    <w:rsid w:val="00C33AF8"/>
    <w:rsid w:val="00C33B21"/>
    <w:rsid w:val="00C34611"/>
    <w:rsid w:val="00C347ED"/>
    <w:rsid w:val="00C34B52"/>
    <w:rsid w:val="00C34E0A"/>
    <w:rsid w:val="00C35313"/>
    <w:rsid w:val="00C35DF7"/>
    <w:rsid w:val="00C36471"/>
    <w:rsid w:val="00C3687C"/>
    <w:rsid w:val="00C40FE2"/>
    <w:rsid w:val="00C4114C"/>
    <w:rsid w:val="00C41657"/>
    <w:rsid w:val="00C42A18"/>
    <w:rsid w:val="00C4362E"/>
    <w:rsid w:val="00C43AB0"/>
    <w:rsid w:val="00C44775"/>
    <w:rsid w:val="00C449D1"/>
    <w:rsid w:val="00C45A6E"/>
    <w:rsid w:val="00C45C04"/>
    <w:rsid w:val="00C46DE6"/>
    <w:rsid w:val="00C46F15"/>
    <w:rsid w:val="00C46FA6"/>
    <w:rsid w:val="00C50AFC"/>
    <w:rsid w:val="00C5193D"/>
    <w:rsid w:val="00C52229"/>
    <w:rsid w:val="00C525AA"/>
    <w:rsid w:val="00C53410"/>
    <w:rsid w:val="00C53D2B"/>
    <w:rsid w:val="00C540D2"/>
    <w:rsid w:val="00C54381"/>
    <w:rsid w:val="00C55B7B"/>
    <w:rsid w:val="00C56E03"/>
    <w:rsid w:val="00C56FD9"/>
    <w:rsid w:val="00C572B0"/>
    <w:rsid w:val="00C577F6"/>
    <w:rsid w:val="00C57DA5"/>
    <w:rsid w:val="00C57E38"/>
    <w:rsid w:val="00C60C1C"/>
    <w:rsid w:val="00C611F8"/>
    <w:rsid w:val="00C61394"/>
    <w:rsid w:val="00C614A3"/>
    <w:rsid w:val="00C61AC5"/>
    <w:rsid w:val="00C61BFE"/>
    <w:rsid w:val="00C63145"/>
    <w:rsid w:val="00C63809"/>
    <w:rsid w:val="00C64975"/>
    <w:rsid w:val="00C64A5E"/>
    <w:rsid w:val="00C64AD3"/>
    <w:rsid w:val="00C64D22"/>
    <w:rsid w:val="00C65268"/>
    <w:rsid w:val="00C653F5"/>
    <w:rsid w:val="00C65536"/>
    <w:rsid w:val="00C65F91"/>
    <w:rsid w:val="00C66C57"/>
    <w:rsid w:val="00C66D21"/>
    <w:rsid w:val="00C66D96"/>
    <w:rsid w:val="00C676FA"/>
    <w:rsid w:val="00C67C81"/>
    <w:rsid w:val="00C7015A"/>
    <w:rsid w:val="00C70994"/>
    <w:rsid w:val="00C71012"/>
    <w:rsid w:val="00C710C2"/>
    <w:rsid w:val="00C71174"/>
    <w:rsid w:val="00C726AF"/>
    <w:rsid w:val="00C72FC5"/>
    <w:rsid w:val="00C73034"/>
    <w:rsid w:val="00C73364"/>
    <w:rsid w:val="00C748DE"/>
    <w:rsid w:val="00C74F20"/>
    <w:rsid w:val="00C75AF8"/>
    <w:rsid w:val="00C75D31"/>
    <w:rsid w:val="00C75D67"/>
    <w:rsid w:val="00C75D6E"/>
    <w:rsid w:val="00C76573"/>
    <w:rsid w:val="00C816AA"/>
    <w:rsid w:val="00C824C8"/>
    <w:rsid w:val="00C838BA"/>
    <w:rsid w:val="00C8415E"/>
    <w:rsid w:val="00C84FF5"/>
    <w:rsid w:val="00C85C8C"/>
    <w:rsid w:val="00C85F0F"/>
    <w:rsid w:val="00C86680"/>
    <w:rsid w:val="00C86769"/>
    <w:rsid w:val="00C8736B"/>
    <w:rsid w:val="00C90B2B"/>
    <w:rsid w:val="00C90B96"/>
    <w:rsid w:val="00C92A91"/>
    <w:rsid w:val="00C93320"/>
    <w:rsid w:val="00C93364"/>
    <w:rsid w:val="00C93683"/>
    <w:rsid w:val="00C93CEB"/>
    <w:rsid w:val="00C94953"/>
    <w:rsid w:val="00C95518"/>
    <w:rsid w:val="00C95D12"/>
    <w:rsid w:val="00C95FA2"/>
    <w:rsid w:val="00C96142"/>
    <w:rsid w:val="00C96BF6"/>
    <w:rsid w:val="00C97160"/>
    <w:rsid w:val="00CA0441"/>
    <w:rsid w:val="00CA27B7"/>
    <w:rsid w:val="00CA2D22"/>
    <w:rsid w:val="00CA3111"/>
    <w:rsid w:val="00CA3930"/>
    <w:rsid w:val="00CA3AC9"/>
    <w:rsid w:val="00CA444A"/>
    <w:rsid w:val="00CA46D6"/>
    <w:rsid w:val="00CA48BC"/>
    <w:rsid w:val="00CA4E18"/>
    <w:rsid w:val="00CA5ECE"/>
    <w:rsid w:val="00CA60C9"/>
    <w:rsid w:val="00CA64AC"/>
    <w:rsid w:val="00CA6630"/>
    <w:rsid w:val="00CA6A7A"/>
    <w:rsid w:val="00CA74D4"/>
    <w:rsid w:val="00CA7549"/>
    <w:rsid w:val="00CA77A6"/>
    <w:rsid w:val="00CA7AE0"/>
    <w:rsid w:val="00CA7B2F"/>
    <w:rsid w:val="00CB0252"/>
    <w:rsid w:val="00CB07BB"/>
    <w:rsid w:val="00CB1592"/>
    <w:rsid w:val="00CB19E4"/>
    <w:rsid w:val="00CB237B"/>
    <w:rsid w:val="00CB29B9"/>
    <w:rsid w:val="00CB38CD"/>
    <w:rsid w:val="00CB5FF6"/>
    <w:rsid w:val="00CB6C18"/>
    <w:rsid w:val="00CB6D8A"/>
    <w:rsid w:val="00CB7A5C"/>
    <w:rsid w:val="00CB7C03"/>
    <w:rsid w:val="00CC18A3"/>
    <w:rsid w:val="00CC1CDF"/>
    <w:rsid w:val="00CC201A"/>
    <w:rsid w:val="00CC213E"/>
    <w:rsid w:val="00CC33B0"/>
    <w:rsid w:val="00CC3AB4"/>
    <w:rsid w:val="00CC3BE5"/>
    <w:rsid w:val="00CC47BF"/>
    <w:rsid w:val="00CC4A79"/>
    <w:rsid w:val="00CC4CD0"/>
    <w:rsid w:val="00CC5292"/>
    <w:rsid w:val="00CC54AC"/>
    <w:rsid w:val="00CC56F4"/>
    <w:rsid w:val="00CC5A1F"/>
    <w:rsid w:val="00CC6F55"/>
    <w:rsid w:val="00CD0533"/>
    <w:rsid w:val="00CD0848"/>
    <w:rsid w:val="00CD1048"/>
    <w:rsid w:val="00CD15C8"/>
    <w:rsid w:val="00CD1849"/>
    <w:rsid w:val="00CD1A57"/>
    <w:rsid w:val="00CD3A7C"/>
    <w:rsid w:val="00CD3B92"/>
    <w:rsid w:val="00CD4491"/>
    <w:rsid w:val="00CD4B74"/>
    <w:rsid w:val="00CD5B88"/>
    <w:rsid w:val="00CD6409"/>
    <w:rsid w:val="00CD64BF"/>
    <w:rsid w:val="00CD6A83"/>
    <w:rsid w:val="00CD6ABB"/>
    <w:rsid w:val="00CE13E6"/>
    <w:rsid w:val="00CE157E"/>
    <w:rsid w:val="00CE21FF"/>
    <w:rsid w:val="00CE2512"/>
    <w:rsid w:val="00CE3E83"/>
    <w:rsid w:val="00CE438E"/>
    <w:rsid w:val="00CE6227"/>
    <w:rsid w:val="00CE775F"/>
    <w:rsid w:val="00CE78E7"/>
    <w:rsid w:val="00CE7F86"/>
    <w:rsid w:val="00CF0000"/>
    <w:rsid w:val="00CF1F14"/>
    <w:rsid w:val="00CF2AA2"/>
    <w:rsid w:val="00CF2D2C"/>
    <w:rsid w:val="00CF2F72"/>
    <w:rsid w:val="00CF31EE"/>
    <w:rsid w:val="00CF33B7"/>
    <w:rsid w:val="00CF3A1E"/>
    <w:rsid w:val="00CF42F2"/>
    <w:rsid w:val="00CF5328"/>
    <w:rsid w:val="00CF6194"/>
    <w:rsid w:val="00CF6CAE"/>
    <w:rsid w:val="00CF6D7A"/>
    <w:rsid w:val="00CF6FA5"/>
    <w:rsid w:val="00CF7252"/>
    <w:rsid w:val="00CF73BA"/>
    <w:rsid w:val="00D01225"/>
    <w:rsid w:val="00D014DB"/>
    <w:rsid w:val="00D01A93"/>
    <w:rsid w:val="00D0204F"/>
    <w:rsid w:val="00D0245E"/>
    <w:rsid w:val="00D02798"/>
    <w:rsid w:val="00D02990"/>
    <w:rsid w:val="00D03B02"/>
    <w:rsid w:val="00D03E51"/>
    <w:rsid w:val="00D03E93"/>
    <w:rsid w:val="00D03FAC"/>
    <w:rsid w:val="00D043A2"/>
    <w:rsid w:val="00D0576C"/>
    <w:rsid w:val="00D05E86"/>
    <w:rsid w:val="00D062AC"/>
    <w:rsid w:val="00D0717C"/>
    <w:rsid w:val="00D10EC8"/>
    <w:rsid w:val="00D1153A"/>
    <w:rsid w:val="00D11939"/>
    <w:rsid w:val="00D11C1C"/>
    <w:rsid w:val="00D11ED6"/>
    <w:rsid w:val="00D1278C"/>
    <w:rsid w:val="00D134B3"/>
    <w:rsid w:val="00D13FEB"/>
    <w:rsid w:val="00D15840"/>
    <w:rsid w:val="00D15B04"/>
    <w:rsid w:val="00D16619"/>
    <w:rsid w:val="00D16E3D"/>
    <w:rsid w:val="00D17559"/>
    <w:rsid w:val="00D17650"/>
    <w:rsid w:val="00D1791C"/>
    <w:rsid w:val="00D17AC2"/>
    <w:rsid w:val="00D17F30"/>
    <w:rsid w:val="00D17F3E"/>
    <w:rsid w:val="00D20BFD"/>
    <w:rsid w:val="00D2142A"/>
    <w:rsid w:val="00D215CD"/>
    <w:rsid w:val="00D21EBE"/>
    <w:rsid w:val="00D233DB"/>
    <w:rsid w:val="00D24026"/>
    <w:rsid w:val="00D24721"/>
    <w:rsid w:val="00D24D9A"/>
    <w:rsid w:val="00D24EB3"/>
    <w:rsid w:val="00D24FBF"/>
    <w:rsid w:val="00D256A0"/>
    <w:rsid w:val="00D278D5"/>
    <w:rsid w:val="00D27E20"/>
    <w:rsid w:val="00D30709"/>
    <w:rsid w:val="00D31107"/>
    <w:rsid w:val="00D31130"/>
    <w:rsid w:val="00D31455"/>
    <w:rsid w:val="00D31C36"/>
    <w:rsid w:val="00D338BB"/>
    <w:rsid w:val="00D33C25"/>
    <w:rsid w:val="00D33F94"/>
    <w:rsid w:val="00D34A6D"/>
    <w:rsid w:val="00D34B69"/>
    <w:rsid w:val="00D34FB4"/>
    <w:rsid w:val="00D354D2"/>
    <w:rsid w:val="00D361A3"/>
    <w:rsid w:val="00D367A3"/>
    <w:rsid w:val="00D3693C"/>
    <w:rsid w:val="00D37B58"/>
    <w:rsid w:val="00D402D5"/>
    <w:rsid w:val="00D40520"/>
    <w:rsid w:val="00D4094F"/>
    <w:rsid w:val="00D41296"/>
    <w:rsid w:val="00D4134B"/>
    <w:rsid w:val="00D42B60"/>
    <w:rsid w:val="00D43722"/>
    <w:rsid w:val="00D44231"/>
    <w:rsid w:val="00D445A7"/>
    <w:rsid w:val="00D4478E"/>
    <w:rsid w:val="00D449E8"/>
    <w:rsid w:val="00D44D07"/>
    <w:rsid w:val="00D45379"/>
    <w:rsid w:val="00D455FB"/>
    <w:rsid w:val="00D45ADE"/>
    <w:rsid w:val="00D463D5"/>
    <w:rsid w:val="00D47AAD"/>
    <w:rsid w:val="00D50378"/>
    <w:rsid w:val="00D50AC9"/>
    <w:rsid w:val="00D51257"/>
    <w:rsid w:val="00D5157E"/>
    <w:rsid w:val="00D51757"/>
    <w:rsid w:val="00D521E8"/>
    <w:rsid w:val="00D5277A"/>
    <w:rsid w:val="00D53C44"/>
    <w:rsid w:val="00D53C70"/>
    <w:rsid w:val="00D54811"/>
    <w:rsid w:val="00D54BCA"/>
    <w:rsid w:val="00D54E94"/>
    <w:rsid w:val="00D55ABF"/>
    <w:rsid w:val="00D56033"/>
    <w:rsid w:val="00D56333"/>
    <w:rsid w:val="00D56F46"/>
    <w:rsid w:val="00D56F7A"/>
    <w:rsid w:val="00D57D6C"/>
    <w:rsid w:val="00D600FE"/>
    <w:rsid w:val="00D62A79"/>
    <w:rsid w:val="00D6314D"/>
    <w:rsid w:val="00D651CA"/>
    <w:rsid w:val="00D65219"/>
    <w:rsid w:val="00D65364"/>
    <w:rsid w:val="00D6631E"/>
    <w:rsid w:val="00D66493"/>
    <w:rsid w:val="00D6684D"/>
    <w:rsid w:val="00D6696B"/>
    <w:rsid w:val="00D669B6"/>
    <w:rsid w:val="00D6737E"/>
    <w:rsid w:val="00D676B7"/>
    <w:rsid w:val="00D702B6"/>
    <w:rsid w:val="00D70933"/>
    <w:rsid w:val="00D70E72"/>
    <w:rsid w:val="00D71721"/>
    <w:rsid w:val="00D71EA4"/>
    <w:rsid w:val="00D724CB"/>
    <w:rsid w:val="00D72892"/>
    <w:rsid w:val="00D73638"/>
    <w:rsid w:val="00D738E5"/>
    <w:rsid w:val="00D73A06"/>
    <w:rsid w:val="00D73BE9"/>
    <w:rsid w:val="00D74E26"/>
    <w:rsid w:val="00D75DB5"/>
    <w:rsid w:val="00D80F13"/>
    <w:rsid w:val="00D82A5B"/>
    <w:rsid w:val="00D832C2"/>
    <w:rsid w:val="00D83651"/>
    <w:rsid w:val="00D83B92"/>
    <w:rsid w:val="00D85408"/>
    <w:rsid w:val="00D8576F"/>
    <w:rsid w:val="00D8580D"/>
    <w:rsid w:val="00D85E3B"/>
    <w:rsid w:val="00D85E66"/>
    <w:rsid w:val="00D862B5"/>
    <w:rsid w:val="00D865DF"/>
    <w:rsid w:val="00D87228"/>
    <w:rsid w:val="00D872C1"/>
    <w:rsid w:val="00D87414"/>
    <w:rsid w:val="00D87A70"/>
    <w:rsid w:val="00D90642"/>
    <w:rsid w:val="00D91FD5"/>
    <w:rsid w:val="00D928BE"/>
    <w:rsid w:val="00D93EA1"/>
    <w:rsid w:val="00D9689A"/>
    <w:rsid w:val="00D96C47"/>
    <w:rsid w:val="00D96CBE"/>
    <w:rsid w:val="00DA0257"/>
    <w:rsid w:val="00DA0482"/>
    <w:rsid w:val="00DA0B62"/>
    <w:rsid w:val="00DA20DF"/>
    <w:rsid w:val="00DA233C"/>
    <w:rsid w:val="00DA290C"/>
    <w:rsid w:val="00DA29AF"/>
    <w:rsid w:val="00DA3157"/>
    <w:rsid w:val="00DA3610"/>
    <w:rsid w:val="00DA3C84"/>
    <w:rsid w:val="00DA41E6"/>
    <w:rsid w:val="00DA42E9"/>
    <w:rsid w:val="00DA5343"/>
    <w:rsid w:val="00DA613B"/>
    <w:rsid w:val="00DA6220"/>
    <w:rsid w:val="00DB02B8"/>
    <w:rsid w:val="00DB02CE"/>
    <w:rsid w:val="00DB045A"/>
    <w:rsid w:val="00DB0D3D"/>
    <w:rsid w:val="00DB1036"/>
    <w:rsid w:val="00DB10C2"/>
    <w:rsid w:val="00DB2561"/>
    <w:rsid w:val="00DB2D78"/>
    <w:rsid w:val="00DB3610"/>
    <w:rsid w:val="00DB38B6"/>
    <w:rsid w:val="00DB4239"/>
    <w:rsid w:val="00DB48C7"/>
    <w:rsid w:val="00DB633E"/>
    <w:rsid w:val="00DB686E"/>
    <w:rsid w:val="00DB6AD8"/>
    <w:rsid w:val="00DB6B03"/>
    <w:rsid w:val="00DB7632"/>
    <w:rsid w:val="00DB7CD0"/>
    <w:rsid w:val="00DC0692"/>
    <w:rsid w:val="00DC0C75"/>
    <w:rsid w:val="00DC1D99"/>
    <w:rsid w:val="00DC252D"/>
    <w:rsid w:val="00DC2567"/>
    <w:rsid w:val="00DC351C"/>
    <w:rsid w:val="00DC4E1A"/>
    <w:rsid w:val="00DC532C"/>
    <w:rsid w:val="00DC569C"/>
    <w:rsid w:val="00DC73F5"/>
    <w:rsid w:val="00DC7510"/>
    <w:rsid w:val="00DC7812"/>
    <w:rsid w:val="00DC782B"/>
    <w:rsid w:val="00DC7AC7"/>
    <w:rsid w:val="00DD01F8"/>
    <w:rsid w:val="00DD0728"/>
    <w:rsid w:val="00DD0846"/>
    <w:rsid w:val="00DD1F0F"/>
    <w:rsid w:val="00DD2363"/>
    <w:rsid w:val="00DD2F25"/>
    <w:rsid w:val="00DD4D93"/>
    <w:rsid w:val="00DD4E7D"/>
    <w:rsid w:val="00DD5498"/>
    <w:rsid w:val="00DD6EC5"/>
    <w:rsid w:val="00DE167C"/>
    <w:rsid w:val="00DE551E"/>
    <w:rsid w:val="00DE5E08"/>
    <w:rsid w:val="00DE6612"/>
    <w:rsid w:val="00DE6EDB"/>
    <w:rsid w:val="00DE702E"/>
    <w:rsid w:val="00DE7505"/>
    <w:rsid w:val="00DE78AB"/>
    <w:rsid w:val="00DF0A4C"/>
    <w:rsid w:val="00DF252F"/>
    <w:rsid w:val="00DF295E"/>
    <w:rsid w:val="00DF2C89"/>
    <w:rsid w:val="00DF2E1A"/>
    <w:rsid w:val="00DF3EAB"/>
    <w:rsid w:val="00DF41BC"/>
    <w:rsid w:val="00DF4508"/>
    <w:rsid w:val="00DF5C77"/>
    <w:rsid w:val="00DF6170"/>
    <w:rsid w:val="00DF6BE0"/>
    <w:rsid w:val="00DF7241"/>
    <w:rsid w:val="00DF7AF5"/>
    <w:rsid w:val="00E002AB"/>
    <w:rsid w:val="00E0060B"/>
    <w:rsid w:val="00E0228D"/>
    <w:rsid w:val="00E02604"/>
    <w:rsid w:val="00E02D3D"/>
    <w:rsid w:val="00E04148"/>
    <w:rsid w:val="00E04926"/>
    <w:rsid w:val="00E052EC"/>
    <w:rsid w:val="00E0604E"/>
    <w:rsid w:val="00E06644"/>
    <w:rsid w:val="00E06EDC"/>
    <w:rsid w:val="00E072B7"/>
    <w:rsid w:val="00E103CF"/>
    <w:rsid w:val="00E105D7"/>
    <w:rsid w:val="00E10A0F"/>
    <w:rsid w:val="00E11A70"/>
    <w:rsid w:val="00E11F35"/>
    <w:rsid w:val="00E11F93"/>
    <w:rsid w:val="00E12908"/>
    <w:rsid w:val="00E155DC"/>
    <w:rsid w:val="00E15B28"/>
    <w:rsid w:val="00E15FBE"/>
    <w:rsid w:val="00E166B3"/>
    <w:rsid w:val="00E16D2D"/>
    <w:rsid w:val="00E208BA"/>
    <w:rsid w:val="00E20B9B"/>
    <w:rsid w:val="00E22938"/>
    <w:rsid w:val="00E234CD"/>
    <w:rsid w:val="00E23699"/>
    <w:rsid w:val="00E2426D"/>
    <w:rsid w:val="00E244DD"/>
    <w:rsid w:val="00E24C5B"/>
    <w:rsid w:val="00E256A4"/>
    <w:rsid w:val="00E25C71"/>
    <w:rsid w:val="00E26A26"/>
    <w:rsid w:val="00E26A5F"/>
    <w:rsid w:val="00E26E4D"/>
    <w:rsid w:val="00E271FF"/>
    <w:rsid w:val="00E27D88"/>
    <w:rsid w:val="00E30B46"/>
    <w:rsid w:val="00E32007"/>
    <w:rsid w:val="00E32202"/>
    <w:rsid w:val="00E3234A"/>
    <w:rsid w:val="00E32CD4"/>
    <w:rsid w:val="00E32DDF"/>
    <w:rsid w:val="00E330A9"/>
    <w:rsid w:val="00E3495C"/>
    <w:rsid w:val="00E34FAA"/>
    <w:rsid w:val="00E359DC"/>
    <w:rsid w:val="00E359EE"/>
    <w:rsid w:val="00E36109"/>
    <w:rsid w:val="00E36AE3"/>
    <w:rsid w:val="00E36ED2"/>
    <w:rsid w:val="00E37B91"/>
    <w:rsid w:val="00E37D69"/>
    <w:rsid w:val="00E41613"/>
    <w:rsid w:val="00E41A46"/>
    <w:rsid w:val="00E420FA"/>
    <w:rsid w:val="00E424D3"/>
    <w:rsid w:val="00E42853"/>
    <w:rsid w:val="00E42C07"/>
    <w:rsid w:val="00E43171"/>
    <w:rsid w:val="00E4321F"/>
    <w:rsid w:val="00E43238"/>
    <w:rsid w:val="00E43290"/>
    <w:rsid w:val="00E435EA"/>
    <w:rsid w:val="00E43B02"/>
    <w:rsid w:val="00E446BC"/>
    <w:rsid w:val="00E449B7"/>
    <w:rsid w:val="00E4566A"/>
    <w:rsid w:val="00E46D5E"/>
    <w:rsid w:val="00E479DA"/>
    <w:rsid w:val="00E51AE8"/>
    <w:rsid w:val="00E521B1"/>
    <w:rsid w:val="00E5260A"/>
    <w:rsid w:val="00E5275B"/>
    <w:rsid w:val="00E53FDC"/>
    <w:rsid w:val="00E54620"/>
    <w:rsid w:val="00E54CE5"/>
    <w:rsid w:val="00E55BE6"/>
    <w:rsid w:val="00E567B8"/>
    <w:rsid w:val="00E56FD4"/>
    <w:rsid w:val="00E57C54"/>
    <w:rsid w:val="00E57F1D"/>
    <w:rsid w:val="00E607AB"/>
    <w:rsid w:val="00E609F8"/>
    <w:rsid w:val="00E60C28"/>
    <w:rsid w:val="00E6169F"/>
    <w:rsid w:val="00E61BE6"/>
    <w:rsid w:val="00E62014"/>
    <w:rsid w:val="00E6339D"/>
    <w:rsid w:val="00E63517"/>
    <w:rsid w:val="00E6358D"/>
    <w:rsid w:val="00E64057"/>
    <w:rsid w:val="00E64083"/>
    <w:rsid w:val="00E64772"/>
    <w:rsid w:val="00E64BFB"/>
    <w:rsid w:val="00E6522F"/>
    <w:rsid w:val="00E655AE"/>
    <w:rsid w:val="00E65818"/>
    <w:rsid w:val="00E65B8A"/>
    <w:rsid w:val="00E65DCB"/>
    <w:rsid w:val="00E65F52"/>
    <w:rsid w:val="00E665BB"/>
    <w:rsid w:val="00E668DE"/>
    <w:rsid w:val="00E66C11"/>
    <w:rsid w:val="00E66D9B"/>
    <w:rsid w:val="00E70173"/>
    <w:rsid w:val="00E70544"/>
    <w:rsid w:val="00E70B1A"/>
    <w:rsid w:val="00E70D91"/>
    <w:rsid w:val="00E71A97"/>
    <w:rsid w:val="00E725C6"/>
    <w:rsid w:val="00E728D4"/>
    <w:rsid w:val="00E729B8"/>
    <w:rsid w:val="00E72E62"/>
    <w:rsid w:val="00E735DE"/>
    <w:rsid w:val="00E7391B"/>
    <w:rsid w:val="00E74162"/>
    <w:rsid w:val="00E742D3"/>
    <w:rsid w:val="00E743CE"/>
    <w:rsid w:val="00E74A43"/>
    <w:rsid w:val="00E74A8F"/>
    <w:rsid w:val="00E74B4C"/>
    <w:rsid w:val="00E76080"/>
    <w:rsid w:val="00E76864"/>
    <w:rsid w:val="00E779AD"/>
    <w:rsid w:val="00E77BF5"/>
    <w:rsid w:val="00E77ECA"/>
    <w:rsid w:val="00E807BA"/>
    <w:rsid w:val="00E83F76"/>
    <w:rsid w:val="00E85B88"/>
    <w:rsid w:val="00E85FB2"/>
    <w:rsid w:val="00E86D74"/>
    <w:rsid w:val="00E86EB8"/>
    <w:rsid w:val="00E8730C"/>
    <w:rsid w:val="00E876AD"/>
    <w:rsid w:val="00E90CC2"/>
    <w:rsid w:val="00E91ABB"/>
    <w:rsid w:val="00E91BC8"/>
    <w:rsid w:val="00E92337"/>
    <w:rsid w:val="00E924D4"/>
    <w:rsid w:val="00E92B51"/>
    <w:rsid w:val="00E93848"/>
    <w:rsid w:val="00E93AF0"/>
    <w:rsid w:val="00E93CC1"/>
    <w:rsid w:val="00E943CA"/>
    <w:rsid w:val="00E95935"/>
    <w:rsid w:val="00E96BD2"/>
    <w:rsid w:val="00E96C32"/>
    <w:rsid w:val="00E97E6E"/>
    <w:rsid w:val="00EA2980"/>
    <w:rsid w:val="00EA2EA1"/>
    <w:rsid w:val="00EA323E"/>
    <w:rsid w:val="00EA35EB"/>
    <w:rsid w:val="00EA4F23"/>
    <w:rsid w:val="00EA500F"/>
    <w:rsid w:val="00EA64ED"/>
    <w:rsid w:val="00EA7047"/>
    <w:rsid w:val="00EA76DA"/>
    <w:rsid w:val="00EB0A37"/>
    <w:rsid w:val="00EB20C4"/>
    <w:rsid w:val="00EB237A"/>
    <w:rsid w:val="00EB309A"/>
    <w:rsid w:val="00EB75B6"/>
    <w:rsid w:val="00EB7C86"/>
    <w:rsid w:val="00EB7D1C"/>
    <w:rsid w:val="00EC03BB"/>
    <w:rsid w:val="00EC0A19"/>
    <w:rsid w:val="00EC0B52"/>
    <w:rsid w:val="00EC1AEF"/>
    <w:rsid w:val="00EC1CCE"/>
    <w:rsid w:val="00EC20E5"/>
    <w:rsid w:val="00EC2227"/>
    <w:rsid w:val="00EC4530"/>
    <w:rsid w:val="00EC4B0F"/>
    <w:rsid w:val="00EC4ECB"/>
    <w:rsid w:val="00EC52DE"/>
    <w:rsid w:val="00EC5345"/>
    <w:rsid w:val="00EC5FC5"/>
    <w:rsid w:val="00EC65E5"/>
    <w:rsid w:val="00EC6FE6"/>
    <w:rsid w:val="00EC7C9C"/>
    <w:rsid w:val="00ED0216"/>
    <w:rsid w:val="00ED03C0"/>
    <w:rsid w:val="00ED0768"/>
    <w:rsid w:val="00ED0EC0"/>
    <w:rsid w:val="00ED1CE1"/>
    <w:rsid w:val="00ED28D9"/>
    <w:rsid w:val="00ED2FEE"/>
    <w:rsid w:val="00ED38DF"/>
    <w:rsid w:val="00ED3A85"/>
    <w:rsid w:val="00ED4312"/>
    <w:rsid w:val="00ED4610"/>
    <w:rsid w:val="00ED51E3"/>
    <w:rsid w:val="00ED5F7B"/>
    <w:rsid w:val="00ED60A3"/>
    <w:rsid w:val="00ED6511"/>
    <w:rsid w:val="00ED690C"/>
    <w:rsid w:val="00ED6AA7"/>
    <w:rsid w:val="00ED6AEE"/>
    <w:rsid w:val="00ED7159"/>
    <w:rsid w:val="00ED7DE0"/>
    <w:rsid w:val="00EE0AE4"/>
    <w:rsid w:val="00EE0D49"/>
    <w:rsid w:val="00EE1E95"/>
    <w:rsid w:val="00EE215A"/>
    <w:rsid w:val="00EE29EA"/>
    <w:rsid w:val="00EE3968"/>
    <w:rsid w:val="00EE4BB4"/>
    <w:rsid w:val="00EE4BFB"/>
    <w:rsid w:val="00EE4D47"/>
    <w:rsid w:val="00EE57EE"/>
    <w:rsid w:val="00EE5FB8"/>
    <w:rsid w:val="00EE76F9"/>
    <w:rsid w:val="00EE7700"/>
    <w:rsid w:val="00EE7F39"/>
    <w:rsid w:val="00EF03AE"/>
    <w:rsid w:val="00EF05FF"/>
    <w:rsid w:val="00EF0AB8"/>
    <w:rsid w:val="00EF1A2E"/>
    <w:rsid w:val="00EF1ED4"/>
    <w:rsid w:val="00EF2226"/>
    <w:rsid w:val="00EF252D"/>
    <w:rsid w:val="00EF2B58"/>
    <w:rsid w:val="00EF3532"/>
    <w:rsid w:val="00EF3E3E"/>
    <w:rsid w:val="00EF3F3D"/>
    <w:rsid w:val="00EF5A77"/>
    <w:rsid w:val="00EF6FCF"/>
    <w:rsid w:val="00EF72F7"/>
    <w:rsid w:val="00F00DCB"/>
    <w:rsid w:val="00F0298E"/>
    <w:rsid w:val="00F03503"/>
    <w:rsid w:val="00F04A0A"/>
    <w:rsid w:val="00F0518F"/>
    <w:rsid w:val="00F0583C"/>
    <w:rsid w:val="00F0641E"/>
    <w:rsid w:val="00F06A63"/>
    <w:rsid w:val="00F07070"/>
    <w:rsid w:val="00F11825"/>
    <w:rsid w:val="00F11A51"/>
    <w:rsid w:val="00F1478D"/>
    <w:rsid w:val="00F154EC"/>
    <w:rsid w:val="00F160E5"/>
    <w:rsid w:val="00F203AD"/>
    <w:rsid w:val="00F20919"/>
    <w:rsid w:val="00F20E69"/>
    <w:rsid w:val="00F21745"/>
    <w:rsid w:val="00F21D8A"/>
    <w:rsid w:val="00F2299A"/>
    <w:rsid w:val="00F22E26"/>
    <w:rsid w:val="00F23394"/>
    <w:rsid w:val="00F246A1"/>
    <w:rsid w:val="00F249EC"/>
    <w:rsid w:val="00F255F3"/>
    <w:rsid w:val="00F25965"/>
    <w:rsid w:val="00F31B28"/>
    <w:rsid w:val="00F31EC3"/>
    <w:rsid w:val="00F34DC4"/>
    <w:rsid w:val="00F351FC"/>
    <w:rsid w:val="00F3558D"/>
    <w:rsid w:val="00F356FB"/>
    <w:rsid w:val="00F35B0D"/>
    <w:rsid w:val="00F35B19"/>
    <w:rsid w:val="00F35F41"/>
    <w:rsid w:val="00F36508"/>
    <w:rsid w:val="00F3784E"/>
    <w:rsid w:val="00F3787F"/>
    <w:rsid w:val="00F40060"/>
    <w:rsid w:val="00F40AFB"/>
    <w:rsid w:val="00F40D34"/>
    <w:rsid w:val="00F41869"/>
    <w:rsid w:val="00F41999"/>
    <w:rsid w:val="00F42433"/>
    <w:rsid w:val="00F42994"/>
    <w:rsid w:val="00F42F97"/>
    <w:rsid w:val="00F4344F"/>
    <w:rsid w:val="00F43CBF"/>
    <w:rsid w:val="00F4424E"/>
    <w:rsid w:val="00F4471A"/>
    <w:rsid w:val="00F44ED1"/>
    <w:rsid w:val="00F45020"/>
    <w:rsid w:val="00F452AF"/>
    <w:rsid w:val="00F4551C"/>
    <w:rsid w:val="00F45E4C"/>
    <w:rsid w:val="00F471D6"/>
    <w:rsid w:val="00F500F4"/>
    <w:rsid w:val="00F5061F"/>
    <w:rsid w:val="00F5074D"/>
    <w:rsid w:val="00F51493"/>
    <w:rsid w:val="00F51519"/>
    <w:rsid w:val="00F5166E"/>
    <w:rsid w:val="00F517C6"/>
    <w:rsid w:val="00F51F3D"/>
    <w:rsid w:val="00F530D0"/>
    <w:rsid w:val="00F53281"/>
    <w:rsid w:val="00F53454"/>
    <w:rsid w:val="00F537AE"/>
    <w:rsid w:val="00F54183"/>
    <w:rsid w:val="00F548D1"/>
    <w:rsid w:val="00F54AF8"/>
    <w:rsid w:val="00F54EEC"/>
    <w:rsid w:val="00F55A99"/>
    <w:rsid w:val="00F55B6A"/>
    <w:rsid w:val="00F56F90"/>
    <w:rsid w:val="00F57691"/>
    <w:rsid w:val="00F578DB"/>
    <w:rsid w:val="00F60864"/>
    <w:rsid w:val="00F609DC"/>
    <w:rsid w:val="00F61601"/>
    <w:rsid w:val="00F61C65"/>
    <w:rsid w:val="00F62AA4"/>
    <w:rsid w:val="00F62E5D"/>
    <w:rsid w:val="00F6302C"/>
    <w:rsid w:val="00F63047"/>
    <w:rsid w:val="00F632DE"/>
    <w:rsid w:val="00F637A9"/>
    <w:rsid w:val="00F64CC2"/>
    <w:rsid w:val="00F64CFB"/>
    <w:rsid w:val="00F6528E"/>
    <w:rsid w:val="00F65EF3"/>
    <w:rsid w:val="00F65F6F"/>
    <w:rsid w:val="00F65FEB"/>
    <w:rsid w:val="00F6610F"/>
    <w:rsid w:val="00F6651A"/>
    <w:rsid w:val="00F66520"/>
    <w:rsid w:val="00F669D7"/>
    <w:rsid w:val="00F66AF3"/>
    <w:rsid w:val="00F66C67"/>
    <w:rsid w:val="00F66F87"/>
    <w:rsid w:val="00F67163"/>
    <w:rsid w:val="00F67C79"/>
    <w:rsid w:val="00F67F23"/>
    <w:rsid w:val="00F703E4"/>
    <w:rsid w:val="00F703FF"/>
    <w:rsid w:val="00F70795"/>
    <w:rsid w:val="00F70BFC"/>
    <w:rsid w:val="00F70EEC"/>
    <w:rsid w:val="00F7127A"/>
    <w:rsid w:val="00F712E6"/>
    <w:rsid w:val="00F71BD0"/>
    <w:rsid w:val="00F71C6F"/>
    <w:rsid w:val="00F71E73"/>
    <w:rsid w:val="00F723E0"/>
    <w:rsid w:val="00F724A4"/>
    <w:rsid w:val="00F72A81"/>
    <w:rsid w:val="00F72D3F"/>
    <w:rsid w:val="00F72ED1"/>
    <w:rsid w:val="00F7357F"/>
    <w:rsid w:val="00F73D6C"/>
    <w:rsid w:val="00F74835"/>
    <w:rsid w:val="00F74A94"/>
    <w:rsid w:val="00F751F1"/>
    <w:rsid w:val="00F754A4"/>
    <w:rsid w:val="00F758E8"/>
    <w:rsid w:val="00F75E36"/>
    <w:rsid w:val="00F7738A"/>
    <w:rsid w:val="00F7791C"/>
    <w:rsid w:val="00F77E60"/>
    <w:rsid w:val="00F8066F"/>
    <w:rsid w:val="00F80D86"/>
    <w:rsid w:val="00F8121C"/>
    <w:rsid w:val="00F812AB"/>
    <w:rsid w:val="00F828FC"/>
    <w:rsid w:val="00F82F57"/>
    <w:rsid w:val="00F8362D"/>
    <w:rsid w:val="00F83E88"/>
    <w:rsid w:val="00F83F1E"/>
    <w:rsid w:val="00F840D7"/>
    <w:rsid w:val="00F84F6F"/>
    <w:rsid w:val="00F8505E"/>
    <w:rsid w:val="00F85DE9"/>
    <w:rsid w:val="00F86864"/>
    <w:rsid w:val="00F86CD6"/>
    <w:rsid w:val="00F90544"/>
    <w:rsid w:val="00F91886"/>
    <w:rsid w:val="00F94551"/>
    <w:rsid w:val="00F945A1"/>
    <w:rsid w:val="00F95ADE"/>
    <w:rsid w:val="00F96195"/>
    <w:rsid w:val="00F96C27"/>
    <w:rsid w:val="00F97220"/>
    <w:rsid w:val="00F97C13"/>
    <w:rsid w:val="00FA0A9A"/>
    <w:rsid w:val="00FA122A"/>
    <w:rsid w:val="00FA1458"/>
    <w:rsid w:val="00FA14DF"/>
    <w:rsid w:val="00FA2B86"/>
    <w:rsid w:val="00FA3935"/>
    <w:rsid w:val="00FA4311"/>
    <w:rsid w:val="00FA457F"/>
    <w:rsid w:val="00FA4E67"/>
    <w:rsid w:val="00FA6974"/>
    <w:rsid w:val="00FA71AE"/>
    <w:rsid w:val="00FA77B6"/>
    <w:rsid w:val="00FB09B5"/>
    <w:rsid w:val="00FB2467"/>
    <w:rsid w:val="00FB254D"/>
    <w:rsid w:val="00FB2718"/>
    <w:rsid w:val="00FB2EC9"/>
    <w:rsid w:val="00FB34E8"/>
    <w:rsid w:val="00FB4FDD"/>
    <w:rsid w:val="00FB6310"/>
    <w:rsid w:val="00FB7C95"/>
    <w:rsid w:val="00FC0376"/>
    <w:rsid w:val="00FC1100"/>
    <w:rsid w:val="00FC1C48"/>
    <w:rsid w:val="00FC1DB2"/>
    <w:rsid w:val="00FC1FE4"/>
    <w:rsid w:val="00FC2057"/>
    <w:rsid w:val="00FC2144"/>
    <w:rsid w:val="00FC3509"/>
    <w:rsid w:val="00FC384F"/>
    <w:rsid w:val="00FC3DD2"/>
    <w:rsid w:val="00FC470C"/>
    <w:rsid w:val="00FC4C6A"/>
    <w:rsid w:val="00FC5FF2"/>
    <w:rsid w:val="00FC7EFE"/>
    <w:rsid w:val="00FD01D0"/>
    <w:rsid w:val="00FD061A"/>
    <w:rsid w:val="00FD2687"/>
    <w:rsid w:val="00FD2E87"/>
    <w:rsid w:val="00FD3BB9"/>
    <w:rsid w:val="00FD51DD"/>
    <w:rsid w:val="00FD57CD"/>
    <w:rsid w:val="00FD7614"/>
    <w:rsid w:val="00FD790A"/>
    <w:rsid w:val="00FD7924"/>
    <w:rsid w:val="00FD7A66"/>
    <w:rsid w:val="00FD7B25"/>
    <w:rsid w:val="00FD7C0C"/>
    <w:rsid w:val="00FD7F65"/>
    <w:rsid w:val="00FD7F96"/>
    <w:rsid w:val="00FE0734"/>
    <w:rsid w:val="00FE0EB0"/>
    <w:rsid w:val="00FE1444"/>
    <w:rsid w:val="00FE1E6D"/>
    <w:rsid w:val="00FE2172"/>
    <w:rsid w:val="00FE2545"/>
    <w:rsid w:val="00FE2582"/>
    <w:rsid w:val="00FE268C"/>
    <w:rsid w:val="00FE331B"/>
    <w:rsid w:val="00FE3679"/>
    <w:rsid w:val="00FE40E3"/>
    <w:rsid w:val="00FE4106"/>
    <w:rsid w:val="00FE469D"/>
    <w:rsid w:val="00FE5A68"/>
    <w:rsid w:val="00FE6486"/>
    <w:rsid w:val="00FE675A"/>
    <w:rsid w:val="00FE73C4"/>
    <w:rsid w:val="00FF044B"/>
    <w:rsid w:val="00FF07BA"/>
    <w:rsid w:val="00FF0B98"/>
    <w:rsid w:val="00FF0CF4"/>
    <w:rsid w:val="00FF2249"/>
    <w:rsid w:val="00FF23E5"/>
    <w:rsid w:val="00FF2642"/>
    <w:rsid w:val="00FF2D00"/>
    <w:rsid w:val="00FF3248"/>
    <w:rsid w:val="00FF32B5"/>
    <w:rsid w:val="00FF4748"/>
    <w:rsid w:val="00FF4A5F"/>
    <w:rsid w:val="00FF5E30"/>
    <w:rsid w:val="00FF5FD6"/>
    <w:rsid w:val="00FF64EE"/>
    <w:rsid w:val="00FF6568"/>
    <w:rsid w:val="00FF6630"/>
    <w:rsid w:val="00FF6C93"/>
    <w:rsid w:val="00FF6DD7"/>
    <w:rsid w:val="00FF7706"/>
    <w:rsid w:val="00FF7A79"/>
    <w:rsid w:val="02ED198C"/>
    <w:rsid w:val="03504E41"/>
    <w:rsid w:val="082E6226"/>
    <w:rsid w:val="08C9355C"/>
    <w:rsid w:val="0B62704D"/>
    <w:rsid w:val="0CBD7EFA"/>
    <w:rsid w:val="0EAF2794"/>
    <w:rsid w:val="1289110D"/>
    <w:rsid w:val="14EF3F81"/>
    <w:rsid w:val="17D426B4"/>
    <w:rsid w:val="197C7DCB"/>
    <w:rsid w:val="1B86144C"/>
    <w:rsid w:val="1CBB0E73"/>
    <w:rsid w:val="1CD97253"/>
    <w:rsid w:val="1E552D25"/>
    <w:rsid w:val="1EE808AC"/>
    <w:rsid w:val="202417DE"/>
    <w:rsid w:val="241D5C6F"/>
    <w:rsid w:val="242B5A29"/>
    <w:rsid w:val="28767F4A"/>
    <w:rsid w:val="28F95176"/>
    <w:rsid w:val="29BD41E1"/>
    <w:rsid w:val="2A0C0DC7"/>
    <w:rsid w:val="3037310A"/>
    <w:rsid w:val="32C37D99"/>
    <w:rsid w:val="35932091"/>
    <w:rsid w:val="363114EB"/>
    <w:rsid w:val="36705508"/>
    <w:rsid w:val="37D22A80"/>
    <w:rsid w:val="38494404"/>
    <w:rsid w:val="39681ABA"/>
    <w:rsid w:val="3B5617C1"/>
    <w:rsid w:val="3E522CF1"/>
    <w:rsid w:val="3E595662"/>
    <w:rsid w:val="406518C4"/>
    <w:rsid w:val="456E1B7A"/>
    <w:rsid w:val="45724DC6"/>
    <w:rsid w:val="49EB168F"/>
    <w:rsid w:val="4A217B77"/>
    <w:rsid w:val="4B106001"/>
    <w:rsid w:val="51B20DBC"/>
    <w:rsid w:val="5268443A"/>
    <w:rsid w:val="54394667"/>
    <w:rsid w:val="5469726E"/>
    <w:rsid w:val="585A5481"/>
    <w:rsid w:val="64D12B8D"/>
    <w:rsid w:val="66180445"/>
    <w:rsid w:val="669B26BF"/>
    <w:rsid w:val="66CF0099"/>
    <w:rsid w:val="67332290"/>
    <w:rsid w:val="69AB4E06"/>
    <w:rsid w:val="6BBB1626"/>
    <w:rsid w:val="6E5F5AB6"/>
    <w:rsid w:val="6EB55EC5"/>
    <w:rsid w:val="73AE5D69"/>
    <w:rsid w:val="76E14015"/>
    <w:rsid w:val="77532A0E"/>
    <w:rsid w:val="7B6F4892"/>
    <w:rsid w:val="7D093D88"/>
    <w:rsid w:val="7DB37D3E"/>
    <w:rsid w:val="7DE05383"/>
    <w:rsid w:val="FFA65CC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qFormat="1"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00" w:lineRule="exact"/>
      <w:ind w:firstLine="200" w:firstLineChars="200"/>
    </w:pPr>
    <w:rPr>
      <w:rFonts w:ascii="Times New Roman" w:hAnsi="Times New Roman" w:eastAsia="宋体" w:cs="Times New Roman"/>
      <w:sz w:val="28"/>
      <w:szCs w:val="28"/>
      <w:lang w:val="en-US" w:eastAsia="zh-CN" w:bidi="ar-SA"/>
    </w:rPr>
  </w:style>
  <w:style w:type="paragraph" w:styleId="2">
    <w:name w:val="heading 1"/>
    <w:basedOn w:val="1"/>
    <w:next w:val="1"/>
    <w:link w:val="30"/>
    <w:qFormat/>
    <w:uiPriority w:val="99"/>
    <w:pPr>
      <w:keepNext/>
      <w:keepLines/>
      <w:widowControl w:val="0"/>
      <w:spacing w:beforeLines="100" w:afterLines="100" w:line="600" w:lineRule="exact"/>
      <w:ind w:firstLine="0" w:firstLineChars="0"/>
      <w:jc w:val="both"/>
      <w:outlineLvl w:val="0"/>
    </w:pPr>
    <w:rPr>
      <w:b/>
      <w:bCs/>
      <w:kern w:val="44"/>
      <w:sz w:val="44"/>
      <w:szCs w:val="44"/>
    </w:rPr>
  </w:style>
  <w:style w:type="paragraph" w:styleId="3">
    <w:name w:val="heading 2"/>
    <w:basedOn w:val="1"/>
    <w:next w:val="1"/>
    <w:link w:val="31"/>
    <w:qFormat/>
    <w:uiPriority w:val="99"/>
    <w:pPr>
      <w:keepNext/>
      <w:keepLines/>
      <w:spacing w:before="260" w:after="260" w:line="416" w:lineRule="atLeast"/>
      <w:outlineLvl w:val="1"/>
    </w:pPr>
    <w:rPr>
      <w:rFonts w:ascii="Cambria" w:hAnsi="Cambria" w:cs="Cambria"/>
      <w:b/>
      <w:bCs/>
      <w:sz w:val="32"/>
      <w:szCs w:val="32"/>
    </w:rPr>
  </w:style>
  <w:style w:type="paragraph" w:styleId="4">
    <w:name w:val="heading 3"/>
    <w:basedOn w:val="1"/>
    <w:next w:val="1"/>
    <w:link w:val="32"/>
    <w:qFormat/>
    <w:uiPriority w:val="99"/>
    <w:pPr>
      <w:keepNext/>
      <w:keepLines/>
      <w:widowControl w:val="0"/>
      <w:spacing w:beforeLines="50" w:afterLines="50" w:line="460" w:lineRule="atLeast"/>
      <w:ind w:firstLine="0" w:firstLineChars="0"/>
      <w:jc w:val="both"/>
      <w:outlineLvl w:val="2"/>
    </w:pPr>
    <w:rPr>
      <w:b/>
      <w:bCs/>
      <w:kern w:val="2"/>
      <w:sz w:val="32"/>
      <w:szCs w:val="32"/>
    </w:rPr>
  </w:style>
  <w:style w:type="paragraph" w:styleId="5">
    <w:name w:val="heading 5"/>
    <w:basedOn w:val="1"/>
    <w:next w:val="1"/>
    <w:link w:val="60"/>
    <w:semiHidden/>
    <w:unhideWhenUsed/>
    <w:qFormat/>
    <w:locked/>
    <w:uiPriority w:val="0"/>
    <w:pPr>
      <w:keepNext/>
      <w:keepLines/>
      <w:spacing w:before="280" w:after="290" w:line="376" w:lineRule="atLeast"/>
      <w:outlineLvl w:val="4"/>
    </w:pPr>
    <w:rPr>
      <w:b/>
      <w:bCs/>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51"/>
    <w:qFormat/>
    <w:uiPriority w:val="0"/>
    <w:pPr>
      <w:widowControl w:val="0"/>
      <w:adjustRightInd w:val="0"/>
      <w:snapToGrid w:val="0"/>
      <w:spacing w:line="300" w:lineRule="auto"/>
      <w:jc w:val="both"/>
    </w:pPr>
    <w:rPr>
      <w:rFonts w:ascii="仿宋_GB2312" w:eastAsia="仿宋_GB2312"/>
      <w:sz w:val="24"/>
      <w:szCs w:val="24"/>
    </w:rPr>
  </w:style>
  <w:style w:type="paragraph" w:styleId="7">
    <w:name w:val="caption"/>
    <w:next w:val="1"/>
    <w:link w:val="61"/>
    <w:qFormat/>
    <w:locked/>
    <w:uiPriority w:val="0"/>
    <w:pPr>
      <w:spacing w:line="360" w:lineRule="auto"/>
      <w:jc w:val="center"/>
    </w:pPr>
    <w:rPr>
      <w:rFonts w:ascii="Times New Roman" w:hAnsi="Times New Roman" w:eastAsia="仿宋_GB2312" w:cs="Times New Roman"/>
      <w:b/>
      <w:sz w:val="24"/>
      <w:szCs w:val="21"/>
      <w:lang w:val="en-US" w:eastAsia="zh-CN" w:bidi="ar-SA"/>
    </w:rPr>
  </w:style>
  <w:style w:type="paragraph" w:styleId="8">
    <w:name w:val="Document Map"/>
    <w:basedOn w:val="1"/>
    <w:link w:val="36"/>
    <w:semiHidden/>
    <w:qFormat/>
    <w:uiPriority w:val="99"/>
    <w:rPr>
      <w:rFonts w:ascii="宋体" w:cs="宋体"/>
      <w:sz w:val="18"/>
      <w:szCs w:val="18"/>
    </w:rPr>
  </w:style>
  <w:style w:type="paragraph" w:styleId="9">
    <w:name w:val="annotation text"/>
    <w:basedOn w:val="1"/>
    <w:link w:val="34"/>
    <w:qFormat/>
    <w:uiPriority w:val="0"/>
  </w:style>
  <w:style w:type="paragraph" w:styleId="10">
    <w:name w:val="Body Text"/>
    <w:basedOn w:val="1"/>
    <w:next w:val="1"/>
    <w:link w:val="33"/>
    <w:qFormat/>
    <w:uiPriority w:val="99"/>
    <w:pPr>
      <w:widowControl w:val="0"/>
      <w:jc w:val="both"/>
    </w:pPr>
    <w:rPr>
      <w:rFonts w:ascii="仿宋_GB2312" w:hAnsi="Calibri" w:eastAsia="仿宋_GB2312" w:cs="仿宋_GB2312"/>
      <w:sz w:val="24"/>
      <w:szCs w:val="24"/>
    </w:rPr>
  </w:style>
  <w:style w:type="paragraph" w:styleId="11">
    <w:name w:val="Body Text Indent"/>
    <w:basedOn w:val="1"/>
    <w:link w:val="37"/>
    <w:qFormat/>
    <w:uiPriority w:val="99"/>
    <w:pPr>
      <w:widowControl w:val="0"/>
      <w:spacing w:after="120" w:line="460" w:lineRule="exact"/>
      <w:ind w:left="420" w:leftChars="200"/>
      <w:jc w:val="both"/>
    </w:pPr>
    <w:rPr>
      <w:kern w:val="2"/>
      <w:sz w:val="24"/>
      <w:szCs w:val="24"/>
    </w:rPr>
  </w:style>
  <w:style w:type="paragraph" w:styleId="12">
    <w:name w:val="List 2"/>
    <w:basedOn w:val="1"/>
    <w:unhideWhenUsed/>
    <w:qFormat/>
    <w:uiPriority w:val="0"/>
    <w:pPr>
      <w:ind w:left="100" w:leftChars="200" w:hanging="200" w:hangingChars="200"/>
      <w:contextualSpacing/>
    </w:pPr>
  </w:style>
  <w:style w:type="paragraph" w:styleId="13">
    <w:name w:val="toc 3"/>
    <w:basedOn w:val="1"/>
    <w:next w:val="1"/>
    <w:autoRedefine/>
    <w:qFormat/>
    <w:locked/>
    <w:uiPriority w:val="39"/>
    <w:pPr>
      <w:ind w:left="840" w:leftChars="400"/>
    </w:pPr>
  </w:style>
  <w:style w:type="paragraph" w:styleId="14">
    <w:name w:val="Plain Text"/>
    <w:basedOn w:val="1"/>
    <w:link w:val="38"/>
    <w:qFormat/>
    <w:uiPriority w:val="0"/>
    <w:pPr>
      <w:widowControl w:val="0"/>
      <w:tabs>
        <w:tab w:val="left" w:pos="8085"/>
      </w:tabs>
      <w:spacing w:line="520" w:lineRule="exact"/>
      <w:ind w:firstLine="0" w:firstLineChars="0"/>
      <w:jc w:val="both"/>
    </w:pPr>
    <w:rPr>
      <w:rFonts w:ascii="Arial" w:hAnsi="Arial" w:cs="Arial"/>
      <w:sz w:val="24"/>
      <w:szCs w:val="24"/>
    </w:rPr>
  </w:style>
  <w:style w:type="paragraph" w:styleId="15">
    <w:name w:val="Date"/>
    <w:basedOn w:val="1"/>
    <w:next w:val="1"/>
    <w:link w:val="39"/>
    <w:qFormat/>
    <w:uiPriority w:val="99"/>
    <w:pPr>
      <w:widowControl w:val="0"/>
      <w:spacing w:line="240" w:lineRule="auto"/>
      <w:ind w:firstLine="0" w:firstLineChars="0"/>
      <w:jc w:val="both"/>
    </w:pPr>
    <w:rPr>
      <w:kern w:val="2"/>
    </w:rPr>
  </w:style>
  <w:style w:type="paragraph" w:styleId="16">
    <w:name w:val="Body Text Indent 2"/>
    <w:basedOn w:val="1"/>
    <w:link w:val="64"/>
    <w:semiHidden/>
    <w:unhideWhenUsed/>
    <w:qFormat/>
    <w:uiPriority w:val="99"/>
    <w:pPr>
      <w:spacing w:after="120" w:line="480" w:lineRule="auto"/>
      <w:ind w:left="420" w:leftChars="200"/>
    </w:pPr>
  </w:style>
  <w:style w:type="paragraph" w:styleId="17">
    <w:name w:val="Balloon Text"/>
    <w:basedOn w:val="1"/>
    <w:link w:val="40"/>
    <w:semiHidden/>
    <w:qFormat/>
    <w:uiPriority w:val="99"/>
    <w:pPr>
      <w:spacing w:line="240" w:lineRule="auto"/>
    </w:pPr>
    <w:rPr>
      <w:sz w:val="18"/>
      <w:szCs w:val="18"/>
    </w:rPr>
  </w:style>
  <w:style w:type="paragraph" w:styleId="18">
    <w:name w:val="footer"/>
    <w:basedOn w:val="1"/>
    <w:link w:val="41"/>
    <w:qFormat/>
    <w:uiPriority w:val="99"/>
    <w:pPr>
      <w:tabs>
        <w:tab w:val="center" w:pos="4153"/>
        <w:tab w:val="right" w:pos="8306"/>
      </w:tabs>
      <w:snapToGrid w:val="0"/>
    </w:pPr>
    <w:rPr>
      <w:sz w:val="18"/>
      <w:szCs w:val="18"/>
    </w:rPr>
  </w:style>
  <w:style w:type="paragraph" w:styleId="19">
    <w:name w:val="header"/>
    <w:basedOn w:val="1"/>
    <w:link w:val="42"/>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locked/>
    <w:uiPriority w:val="39"/>
    <w:pPr>
      <w:tabs>
        <w:tab w:val="right" w:leader="dot" w:pos="8296"/>
      </w:tabs>
      <w:ind w:firstLine="0" w:firstLineChars="0"/>
    </w:pPr>
    <w:rPr>
      <w:rFonts w:ascii="仿宋" w:hAnsi="仿宋" w:eastAsia="仿宋"/>
      <w:b/>
    </w:rPr>
  </w:style>
  <w:style w:type="paragraph" w:styleId="21">
    <w:name w:val="List"/>
    <w:basedOn w:val="1"/>
    <w:qFormat/>
    <w:uiPriority w:val="99"/>
    <w:pPr>
      <w:widowControl w:val="0"/>
      <w:spacing w:line="360" w:lineRule="exact"/>
      <w:ind w:firstLine="0" w:firstLineChars="0"/>
      <w:jc w:val="center"/>
    </w:pPr>
    <w:rPr>
      <w:rFonts w:ascii="仿宋_GB2312" w:eastAsia="仿宋_GB2312" w:cs="仿宋_GB2312"/>
      <w:kern w:val="2"/>
      <w:sz w:val="24"/>
      <w:szCs w:val="24"/>
    </w:rPr>
  </w:style>
  <w:style w:type="paragraph" w:styleId="22">
    <w:name w:val="toc 2"/>
    <w:basedOn w:val="1"/>
    <w:next w:val="1"/>
    <w:autoRedefine/>
    <w:qFormat/>
    <w:locked/>
    <w:uiPriority w:val="39"/>
    <w:pPr>
      <w:ind w:left="420" w:leftChars="200"/>
    </w:pPr>
  </w:style>
  <w:style w:type="paragraph" w:styleId="23">
    <w:name w:val="index 1"/>
    <w:basedOn w:val="1"/>
    <w:next w:val="1"/>
    <w:autoRedefine/>
    <w:semiHidden/>
    <w:qFormat/>
    <w:uiPriority w:val="99"/>
    <w:pPr>
      <w:widowControl w:val="0"/>
      <w:spacing w:line="300" w:lineRule="exact"/>
      <w:ind w:firstLine="0" w:firstLineChars="0"/>
      <w:jc w:val="center"/>
    </w:pPr>
    <w:rPr>
      <w:rFonts w:ascii="宋体" w:hAnsi="宋体" w:cs="宋体"/>
      <w:sz w:val="21"/>
      <w:szCs w:val="21"/>
    </w:rPr>
  </w:style>
  <w:style w:type="paragraph" w:styleId="24">
    <w:name w:val="annotation subject"/>
    <w:basedOn w:val="9"/>
    <w:next w:val="9"/>
    <w:link w:val="35"/>
    <w:semiHidden/>
    <w:qFormat/>
    <w:uiPriority w:val="99"/>
    <w:rPr>
      <w:b/>
      <w:bCs/>
    </w:rPr>
  </w:style>
  <w:style w:type="table" w:styleId="26">
    <w:name w:val="Table Grid"/>
    <w:basedOn w:val="25"/>
    <w:qFormat/>
    <w:uiPriority w:val="5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Hyperlink"/>
    <w:basedOn w:val="27"/>
    <w:unhideWhenUsed/>
    <w:qFormat/>
    <w:uiPriority w:val="99"/>
    <w:rPr>
      <w:color w:val="0000FF"/>
      <w:u w:val="single"/>
    </w:rPr>
  </w:style>
  <w:style w:type="character" w:styleId="29">
    <w:name w:val="annotation reference"/>
    <w:basedOn w:val="27"/>
    <w:semiHidden/>
    <w:qFormat/>
    <w:uiPriority w:val="99"/>
    <w:rPr>
      <w:sz w:val="21"/>
      <w:szCs w:val="21"/>
    </w:rPr>
  </w:style>
  <w:style w:type="character" w:customStyle="1" w:styleId="30">
    <w:name w:val="标题 1 Char"/>
    <w:basedOn w:val="27"/>
    <w:link w:val="2"/>
    <w:qFormat/>
    <w:locked/>
    <w:uiPriority w:val="99"/>
    <w:rPr>
      <w:rFonts w:ascii="Times New Roman" w:hAnsi="Times New Roman" w:cs="Times New Roman"/>
      <w:b/>
      <w:bCs/>
      <w:kern w:val="44"/>
      <w:sz w:val="44"/>
      <w:szCs w:val="44"/>
    </w:rPr>
  </w:style>
  <w:style w:type="character" w:customStyle="1" w:styleId="31">
    <w:name w:val="标题 2 Char"/>
    <w:basedOn w:val="27"/>
    <w:link w:val="3"/>
    <w:qFormat/>
    <w:locked/>
    <w:uiPriority w:val="99"/>
    <w:rPr>
      <w:rFonts w:ascii="Cambria" w:hAnsi="Cambria" w:eastAsia="宋体" w:cs="Cambria"/>
      <w:b/>
      <w:bCs/>
      <w:kern w:val="0"/>
      <w:sz w:val="32"/>
      <w:szCs w:val="32"/>
    </w:rPr>
  </w:style>
  <w:style w:type="character" w:customStyle="1" w:styleId="32">
    <w:name w:val="标题 3 Char"/>
    <w:basedOn w:val="27"/>
    <w:link w:val="4"/>
    <w:qFormat/>
    <w:locked/>
    <w:uiPriority w:val="99"/>
    <w:rPr>
      <w:rFonts w:ascii="Times New Roman" w:hAnsi="Times New Roman" w:cs="Times New Roman"/>
      <w:b/>
      <w:bCs/>
      <w:sz w:val="32"/>
      <w:szCs w:val="32"/>
    </w:rPr>
  </w:style>
  <w:style w:type="character" w:customStyle="1" w:styleId="33">
    <w:name w:val="正文文本 Char1"/>
    <w:basedOn w:val="27"/>
    <w:link w:val="10"/>
    <w:qFormat/>
    <w:locked/>
    <w:uiPriority w:val="99"/>
    <w:rPr>
      <w:rFonts w:ascii="Calibri" w:hAnsi="Calibri" w:eastAsia="宋体" w:cs="Calibri"/>
      <w:kern w:val="0"/>
      <w:sz w:val="21"/>
      <w:szCs w:val="21"/>
    </w:rPr>
  </w:style>
  <w:style w:type="character" w:customStyle="1" w:styleId="34">
    <w:name w:val="批注文字 Char"/>
    <w:basedOn w:val="27"/>
    <w:link w:val="9"/>
    <w:qFormat/>
    <w:locked/>
    <w:uiPriority w:val="99"/>
    <w:rPr>
      <w:rFonts w:ascii="Times New Roman" w:hAnsi="Times New Roman" w:eastAsia="宋体" w:cs="Times New Roman"/>
      <w:kern w:val="0"/>
      <w:sz w:val="21"/>
      <w:szCs w:val="21"/>
    </w:rPr>
  </w:style>
  <w:style w:type="character" w:customStyle="1" w:styleId="35">
    <w:name w:val="批注主题 Char"/>
    <w:basedOn w:val="34"/>
    <w:link w:val="24"/>
    <w:semiHidden/>
    <w:qFormat/>
    <w:locked/>
    <w:uiPriority w:val="99"/>
    <w:rPr>
      <w:b/>
      <w:bCs/>
    </w:rPr>
  </w:style>
  <w:style w:type="character" w:customStyle="1" w:styleId="36">
    <w:name w:val="文档结构图 Char"/>
    <w:basedOn w:val="27"/>
    <w:link w:val="8"/>
    <w:semiHidden/>
    <w:qFormat/>
    <w:locked/>
    <w:uiPriority w:val="99"/>
    <w:rPr>
      <w:rFonts w:ascii="宋体" w:hAnsi="Calibri" w:eastAsia="宋体" w:cs="宋体"/>
      <w:kern w:val="0"/>
      <w:sz w:val="18"/>
      <w:szCs w:val="18"/>
    </w:rPr>
  </w:style>
  <w:style w:type="character" w:customStyle="1" w:styleId="37">
    <w:name w:val="正文文本缩进 Char"/>
    <w:basedOn w:val="27"/>
    <w:link w:val="11"/>
    <w:qFormat/>
    <w:locked/>
    <w:uiPriority w:val="99"/>
    <w:rPr>
      <w:rFonts w:ascii="Times New Roman" w:hAnsi="Times New Roman" w:cs="Times New Roman"/>
      <w:sz w:val="24"/>
      <w:szCs w:val="24"/>
    </w:rPr>
  </w:style>
  <w:style w:type="character" w:customStyle="1" w:styleId="38">
    <w:name w:val="纯文本 Char1"/>
    <w:basedOn w:val="27"/>
    <w:link w:val="14"/>
    <w:semiHidden/>
    <w:qFormat/>
    <w:locked/>
    <w:uiPriority w:val="99"/>
    <w:rPr>
      <w:rFonts w:ascii="宋体" w:hAnsi="Courier New" w:eastAsia="宋体" w:cs="宋体"/>
      <w:kern w:val="0"/>
      <w:sz w:val="21"/>
      <w:szCs w:val="21"/>
    </w:rPr>
  </w:style>
  <w:style w:type="character" w:customStyle="1" w:styleId="39">
    <w:name w:val="日期 Char"/>
    <w:basedOn w:val="27"/>
    <w:link w:val="15"/>
    <w:qFormat/>
    <w:locked/>
    <w:uiPriority w:val="99"/>
    <w:rPr>
      <w:rFonts w:ascii="Times New Roman" w:hAnsi="Times New Roman" w:eastAsia="宋体" w:cs="Times New Roman"/>
      <w:sz w:val="20"/>
      <w:szCs w:val="20"/>
    </w:rPr>
  </w:style>
  <w:style w:type="character" w:customStyle="1" w:styleId="40">
    <w:name w:val="批注框文本 Char"/>
    <w:basedOn w:val="27"/>
    <w:link w:val="17"/>
    <w:semiHidden/>
    <w:qFormat/>
    <w:locked/>
    <w:uiPriority w:val="99"/>
    <w:rPr>
      <w:rFonts w:ascii="Times New Roman" w:hAnsi="Times New Roman" w:eastAsia="宋体" w:cs="Times New Roman"/>
      <w:kern w:val="0"/>
      <w:sz w:val="18"/>
      <w:szCs w:val="18"/>
    </w:rPr>
  </w:style>
  <w:style w:type="character" w:customStyle="1" w:styleId="41">
    <w:name w:val="页脚 Char"/>
    <w:basedOn w:val="27"/>
    <w:link w:val="18"/>
    <w:qFormat/>
    <w:locked/>
    <w:uiPriority w:val="99"/>
    <w:rPr>
      <w:sz w:val="18"/>
      <w:szCs w:val="18"/>
    </w:rPr>
  </w:style>
  <w:style w:type="character" w:customStyle="1" w:styleId="42">
    <w:name w:val="页眉 Char"/>
    <w:basedOn w:val="27"/>
    <w:link w:val="19"/>
    <w:qFormat/>
    <w:locked/>
    <w:uiPriority w:val="0"/>
    <w:rPr>
      <w:sz w:val="18"/>
      <w:szCs w:val="18"/>
    </w:rPr>
  </w:style>
  <w:style w:type="character" w:customStyle="1" w:styleId="43">
    <w:name w:val="正文文本 Char"/>
    <w:qFormat/>
    <w:uiPriority w:val="99"/>
    <w:rPr>
      <w:rFonts w:ascii="仿宋_GB2312" w:eastAsia="仿宋_GB2312" w:cs="仿宋_GB2312"/>
      <w:sz w:val="24"/>
      <w:szCs w:val="24"/>
    </w:rPr>
  </w:style>
  <w:style w:type="character" w:customStyle="1" w:styleId="44">
    <w:name w:val="纯文本 Char"/>
    <w:qFormat/>
    <w:locked/>
    <w:uiPriority w:val="0"/>
    <w:rPr>
      <w:rFonts w:ascii="Arial" w:hAnsi="Arial" w:eastAsia="宋体" w:cs="Arial"/>
      <w:kern w:val="0"/>
      <w:sz w:val="20"/>
      <w:szCs w:val="20"/>
    </w:rPr>
  </w:style>
  <w:style w:type="paragraph" w:customStyle="1" w:styleId="45">
    <w:name w:val="Table Paragraph"/>
    <w:basedOn w:val="1"/>
    <w:qFormat/>
    <w:uiPriority w:val="99"/>
    <w:pPr>
      <w:widowControl w:val="0"/>
      <w:autoSpaceDE w:val="0"/>
      <w:autoSpaceDN w:val="0"/>
      <w:adjustRightInd w:val="0"/>
      <w:spacing w:before="48" w:line="240" w:lineRule="auto"/>
      <w:ind w:firstLine="0" w:firstLineChars="0"/>
      <w:jc w:val="center"/>
    </w:pPr>
    <w:rPr>
      <w:sz w:val="24"/>
      <w:szCs w:val="24"/>
    </w:rPr>
  </w:style>
  <w:style w:type="character" w:customStyle="1" w:styleId="46">
    <w:name w:val="表图 Char"/>
    <w:link w:val="47"/>
    <w:qFormat/>
    <w:locked/>
    <w:uiPriority w:val="99"/>
    <w:rPr>
      <w:rFonts w:ascii="Times New Roman" w:hAnsi="Times New Roman" w:eastAsia="仿宋_GB2312" w:cs="Times New Roman"/>
      <w:sz w:val="21"/>
      <w:szCs w:val="21"/>
    </w:rPr>
  </w:style>
  <w:style w:type="paragraph" w:customStyle="1" w:styleId="47">
    <w:name w:val="表图"/>
    <w:basedOn w:val="1"/>
    <w:next w:val="1"/>
    <w:link w:val="46"/>
    <w:qFormat/>
    <w:uiPriority w:val="99"/>
    <w:pPr>
      <w:widowControl w:val="0"/>
      <w:adjustRightInd w:val="0"/>
      <w:snapToGrid w:val="0"/>
      <w:spacing w:line="240" w:lineRule="auto"/>
      <w:ind w:firstLine="0" w:firstLineChars="0"/>
      <w:jc w:val="center"/>
    </w:pPr>
    <w:rPr>
      <w:rFonts w:eastAsia="仿宋_GB2312"/>
      <w:sz w:val="21"/>
      <w:szCs w:val="21"/>
    </w:rPr>
  </w:style>
  <w:style w:type="paragraph" w:customStyle="1" w:styleId="48">
    <w:name w:val="新表"/>
    <w:basedOn w:val="1"/>
    <w:qFormat/>
    <w:uiPriority w:val="99"/>
    <w:pPr>
      <w:widowControl w:val="0"/>
      <w:spacing w:line="360" w:lineRule="exact"/>
      <w:ind w:firstLine="0" w:firstLineChars="0"/>
      <w:jc w:val="both"/>
    </w:pPr>
    <w:rPr>
      <w:rFonts w:ascii="宋体" w:eastAsia="仿宋_GB2312" w:cs="宋体"/>
      <w:sz w:val="24"/>
      <w:szCs w:val="24"/>
    </w:rPr>
  </w:style>
  <w:style w:type="paragraph" w:customStyle="1" w:styleId="49">
    <w:name w:val="Heading 11"/>
    <w:basedOn w:val="1"/>
    <w:qFormat/>
    <w:uiPriority w:val="99"/>
    <w:pPr>
      <w:widowControl w:val="0"/>
      <w:autoSpaceDE w:val="0"/>
      <w:autoSpaceDN w:val="0"/>
      <w:adjustRightInd w:val="0"/>
      <w:spacing w:after="3" w:line="240" w:lineRule="auto"/>
      <w:ind w:left="600" w:right="623" w:firstLine="0" w:firstLineChars="0"/>
      <w:jc w:val="center"/>
      <w:outlineLvl w:val="0"/>
    </w:pPr>
    <w:rPr>
      <w:rFonts w:ascii="仿宋_GB2312" w:eastAsia="仿宋_GB2312" w:cs="仿宋_GB2312"/>
      <w:b/>
      <w:bCs/>
      <w:sz w:val="24"/>
      <w:szCs w:val="24"/>
    </w:rPr>
  </w:style>
  <w:style w:type="table" w:customStyle="1" w:styleId="50">
    <w:name w:val="Table Normal1"/>
    <w:qFormat/>
    <w:uiPriority w:val="99"/>
    <w:pPr>
      <w:widowControl w:val="0"/>
      <w:autoSpaceDE w:val="0"/>
      <w:autoSpaceDN w:val="0"/>
    </w:pPr>
    <w:rPr>
      <w:rFonts w:cs="Calibri"/>
      <w:sz w:val="22"/>
      <w:szCs w:val="22"/>
      <w:lang w:eastAsia="en-US"/>
    </w:rPr>
    <w:tblPr>
      <w:tblCellMar>
        <w:top w:w="0" w:type="dxa"/>
        <w:left w:w="0" w:type="dxa"/>
        <w:bottom w:w="0" w:type="dxa"/>
        <w:right w:w="0" w:type="dxa"/>
      </w:tblCellMar>
    </w:tblPr>
  </w:style>
  <w:style w:type="character" w:customStyle="1" w:styleId="51">
    <w:name w:val="正文缩进 Char"/>
    <w:link w:val="6"/>
    <w:qFormat/>
    <w:locked/>
    <w:uiPriority w:val="0"/>
    <w:rPr>
      <w:rFonts w:ascii="仿宋_GB2312" w:hAnsi="Times New Roman" w:eastAsia="仿宋_GB2312" w:cs="仿宋_GB2312"/>
      <w:sz w:val="24"/>
      <w:szCs w:val="24"/>
    </w:rPr>
  </w:style>
  <w:style w:type="paragraph" w:customStyle="1" w:styleId="52">
    <w:name w:val="*正文"/>
    <w:qFormat/>
    <w:uiPriority w:val="99"/>
    <w:pPr>
      <w:spacing w:line="360" w:lineRule="auto"/>
      <w:ind w:firstLine="200" w:firstLineChars="200"/>
      <w:jc w:val="both"/>
    </w:pPr>
    <w:rPr>
      <w:rFonts w:ascii="Times New Roman" w:hAnsi="Times New Roman" w:eastAsia="宋体" w:cs="Times New Roman"/>
      <w:color w:val="000000"/>
      <w:sz w:val="24"/>
      <w:szCs w:val="24"/>
      <w:lang w:val="en-US" w:eastAsia="zh-CN" w:bidi="ar-SA"/>
    </w:rPr>
  </w:style>
  <w:style w:type="paragraph" w:customStyle="1" w:styleId="53">
    <w:name w:val="xl39"/>
    <w:basedOn w:val="1"/>
    <w:qFormat/>
    <w:uiPriority w:val="0"/>
    <w:pPr>
      <w:pBdr>
        <w:bottom w:val="single" w:color="auto" w:sz="4" w:space="0"/>
      </w:pBdr>
      <w:spacing w:before="100" w:beforeAutospacing="1" w:after="100" w:afterAutospacing="1" w:line="240" w:lineRule="auto"/>
      <w:ind w:firstLine="0" w:firstLineChars="0"/>
      <w:jc w:val="center"/>
    </w:pPr>
    <w:rPr>
      <w:rFonts w:ascii="宋体" w:hAnsi="宋体" w:cs="宋体"/>
      <w:sz w:val="24"/>
      <w:szCs w:val="24"/>
    </w:rPr>
  </w:style>
  <w:style w:type="paragraph" w:customStyle="1" w:styleId="54">
    <w:name w:val="表头"/>
    <w:basedOn w:val="1"/>
    <w:qFormat/>
    <w:uiPriority w:val="0"/>
    <w:pPr>
      <w:widowControl w:val="0"/>
      <w:spacing w:line="320" w:lineRule="atLeast"/>
      <w:ind w:firstLine="0" w:firstLineChars="0"/>
      <w:jc w:val="center"/>
    </w:pPr>
    <w:rPr>
      <w:rFonts w:eastAsia="黑体"/>
      <w:spacing w:val="-10"/>
      <w:sz w:val="21"/>
      <w:szCs w:val="21"/>
    </w:rPr>
  </w:style>
  <w:style w:type="character" w:customStyle="1" w:styleId="55">
    <w:name w:val="bt 字符"/>
    <w:link w:val="56"/>
    <w:qFormat/>
    <w:locked/>
    <w:uiPriority w:val="99"/>
    <w:rPr>
      <w:b/>
      <w:bCs/>
      <w:sz w:val="24"/>
      <w:szCs w:val="24"/>
    </w:rPr>
  </w:style>
  <w:style w:type="paragraph" w:customStyle="1" w:styleId="56">
    <w:name w:val="bt"/>
    <w:basedOn w:val="1"/>
    <w:link w:val="55"/>
    <w:qFormat/>
    <w:uiPriority w:val="99"/>
    <w:pPr>
      <w:widowControl w:val="0"/>
      <w:spacing w:line="240" w:lineRule="auto"/>
      <w:ind w:firstLine="0" w:firstLineChars="0"/>
      <w:jc w:val="center"/>
    </w:pPr>
    <w:rPr>
      <w:rFonts w:ascii="Calibri" w:hAnsi="Calibri"/>
      <w:b/>
      <w:bCs/>
      <w:sz w:val="24"/>
      <w:szCs w:val="24"/>
    </w:rPr>
  </w:style>
  <w:style w:type="paragraph" w:customStyle="1" w:styleId="57">
    <w:name w:val="xl67"/>
    <w:basedOn w:val="1"/>
    <w:qFormat/>
    <w:uiPriority w:val="0"/>
    <w:pPr>
      <w:pBdr>
        <w:left w:val="single" w:color="auto" w:sz="4" w:space="0"/>
      </w:pBdr>
      <w:spacing w:before="100" w:beforeAutospacing="1" w:after="100" w:afterAutospacing="1" w:line="240" w:lineRule="auto"/>
      <w:ind w:firstLine="0" w:firstLineChars="0"/>
      <w:jc w:val="center"/>
    </w:pPr>
    <w:rPr>
      <w:rFonts w:ascii="仿宋_GB2312" w:hAnsi="宋体" w:eastAsia="仿宋_GB2312" w:cs="仿宋_GB2312"/>
      <w:sz w:val="24"/>
      <w:szCs w:val="24"/>
    </w:rPr>
  </w:style>
  <w:style w:type="paragraph" w:customStyle="1" w:styleId="58">
    <w:name w:val="表格"/>
    <w:basedOn w:val="1"/>
    <w:qFormat/>
    <w:uiPriority w:val="99"/>
    <w:pPr>
      <w:widowControl w:val="0"/>
      <w:adjustRightInd w:val="0"/>
      <w:snapToGrid w:val="0"/>
      <w:spacing w:line="240" w:lineRule="auto"/>
      <w:ind w:firstLine="0" w:firstLineChars="0"/>
      <w:jc w:val="center"/>
      <w:textAlignment w:val="baseline"/>
    </w:pPr>
    <w:rPr>
      <w:rFonts w:ascii="宋体" w:hAnsi="Calibri" w:eastAsia="仿宋_GB2312" w:cs="宋体"/>
      <w:spacing w:val="4"/>
      <w:sz w:val="24"/>
      <w:szCs w:val="24"/>
    </w:rPr>
  </w:style>
  <w:style w:type="paragraph" w:customStyle="1" w:styleId="59">
    <w:name w:val="TOC Heading"/>
    <w:basedOn w:val="2"/>
    <w:next w:val="1"/>
    <w:semiHidden/>
    <w:unhideWhenUsed/>
    <w:qFormat/>
    <w:uiPriority w:val="39"/>
    <w:pPr>
      <w:widowControl/>
      <w:spacing w:beforeLines="0" w:afterLines="0" w:line="276" w:lineRule="auto"/>
      <w:jc w:val="left"/>
      <w:outlineLvl w:val="9"/>
    </w:pPr>
    <w:rPr>
      <w:rFonts w:ascii="Cambria" w:hAnsi="Cambria"/>
      <w:color w:val="365F91"/>
      <w:kern w:val="0"/>
      <w:sz w:val="28"/>
      <w:szCs w:val="28"/>
    </w:rPr>
  </w:style>
  <w:style w:type="character" w:customStyle="1" w:styleId="60">
    <w:name w:val="标题 5 Char"/>
    <w:basedOn w:val="27"/>
    <w:link w:val="5"/>
    <w:qFormat/>
    <w:uiPriority w:val="0"/>
    <w:rPr>
      <w:rFonts w:ascii="Times New Roman" w:hAnsi="Times New Roman"/>
      <w:b/>
      <w:bCs/>
      <w:sz w:val="28"/>
      <w:szCs w:val="28"/>
    </w:rPr>
  </w:style>
  <w:style w:type="character" w:customStyle="1" w:styleId="61">
    <w:name w:val="题注 Char"/>
    <w:link w:val="7"/>
    <w:qFormat/>
    <w:uiPriority w:val="0"/>
    <w:rPr>
      <w:rFonts w:ascii="Times New Roman" w:hAnsi="Times New Roman" w:eastAsia="仿宋_GB2312"/>
      <w:b/>
      <w:sz w:val="24"/>
      <w:szCs w:val="21"/>
      <w:lang w:bidi="ar-SA"/>
    </w:rPr>
  </w:style>
  <w:style w:type="paragraph" w:customStyle="1" w:styleId="62">
    <w:name w:val="样式 纯文本纯文本 Char Char Char纯文本 Char Char纯文本 Char Char Char Char ..."/>
    <w:basedOn w:val="14"/>
    <w:qFormat/>
    <w:uiPriority w:val="0"/>
    <w:pPr>
      <w:tabs>
        <w:tab w:val="clear" w:pos="8085"/>
      </w:tabs>
      <w:spacing w:line="360" w:lineRule="auto"/>
      <w:ind w:firstLine="200" w:firstLineChars="200"/>
    </w:pPr>
    <w:rPr>
      <w:rFonts w:ascii="宋体" w:hAnsi="宋体" w:cs="宋体"/>
      <w:kern w:val="2"/>
      <w:szCs w:val="20"/>
    </w:rPr>
  </w:style>
  <w:style w:type="character" w:customStyle="1" w:styleId="63">
    <w:name w:val="批注文字 Char2"/>
    <w:qFormat/>
    <w:locked/>
    <w:uiPriority w:val="0"/>
    <w:rPr>
      <w:rFonts w:eastAsia="宋体"/>
      <w:kern w:val="2"/>
      <w:sz w:val="21"/>
      <w:szCs w:val="24"/>
      <w:lang w:val="en-US" w:eastAsia="zh-CN" w:bidi="ar-SA"/>
    </w:rPr>
  </w:style>
  <w:style w:type="character" w:customStyle="1" w:styleId="64">
    <w:name w:val="正文文本缩进 2 Char"/>
    <w:basedOn w:val="27"/>
    <w:link w:val="16"/>
    <w:semiHidden/>
    <w:qFormat/>
    <w:uiPriority w:val="99"/>
    <w:rPr>
      <w:rFonts w:ascii="Times New Roman" w:hAnsi="Times New Roman"/>
      <w:sz w:val="28"/>
      <w:szCs w:val="28"/>
    </w:rPr>
  </w:style>
  <w:style w:type="paragraph" w:customStyle="1" w:styleId="65">
    <w:name w:val="xl4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int="eastAsia" w:ascii="仿宋_GB2312" w:hAnsi="宋体" w:eastAsia="仿宋_GB2312"/>
      <w:color w:val="FF0000"/>
      <w:sz w:val="24"/>
      <w:szCs w:val="24"/>
    </w:rPr>
  </w:style>
  <w:style w:type="paragraph" w:customStyle="1" w:styleId="66">
    <w:name w:val="样式 居中"/>
    <w:basedOn w:val="1"/>
    <w:qFormat/>
    <w:uiPriority w:val="0"/>
    <w:pPr>
      <w:spacing w:beforeLines="20" w:afterLines="20" w:line="240" w:lineRule="auto"/>
      <w:ind w:firstLine="0" w:firstLineChars="0"/>
      <w:jc w:val="center"/>
    </w:pPr>
    <w:rPr>
      <w:rFonts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NUL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44</Pages>
  <Words>3346</Words>
  <Characters>3902</Characters>
  <Lines>507</Lines>
  <Paragraphs>142</Paragraphs>
  <TotalTime>8</TotalTime>
  <ScaleCrop>false</ScaleCrop>
  <LinksUpToDate>false</LinksUpToDate>
  <CharactersWithSpaces>4015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2021-06-15T17:02:00Z</dcterms:created>
  <dc:creator>MicroSoft</dc:creator>
  <cp:lastModifiedBy>石亚伟</cp:lastModifiedBy>
  <cp:lastPrinted>2021-05-23T16:13:00Z</cp:lastPrinted>
  <dcterms:modified xsi:type="dcterms:W3CDTF">2026-01-29T05:24:16Z</dcterms:modified>
  <cp:revision>230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eyJoZGlkIjoiMDgwY2MxNGIwZjdiZTY5OWVkNDUwMjAwZDU0ZDk3N2QiLCJ1c2VySWQiOiIzODU3Mjc4MjUifQ==</vt:lpwstr>
  </property>
  <property fmtid="{D5CDD505-2E9C-101B-9397-08002B2CF9AE}" pid="4" name="ICV">
    <vt:lpwstr>F88DC36370B74F3D82110F1821ABFB55_13</vt:lpwstr>
  </property>
</Properties>
</file>